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C1" w:rsidRDefault="00C966C1">
      <w:pPr>
        <w:pStyle w:val="6"/>
        <w:snapToGrid w:val="0"/>
        <w:spacing w:before="0" w:after="0" w:line="240" w:lineRule="auto"/>
        <w:rPr>
          <w:b w:val="0"/>
        </w:rPr>
      </w:pPr>
    </w:p>
    <w:p w:rsidR="00C966C1" w:rsidRDefault="005B58A3">
      <w:pPr>
        <w:snapToGrid w:val="0"/>
        <w:spacing w:line="240" w:lineRule="auto"/>
        <w:jc w:val="center"/>
        <w:rPr>
          <w:rFonts w:ascii="Times New Roman"/>
          <w:sz w:val="36"/>
          <w:szCs w:val="36"/>
          <w:u w:val="single"/>
        </w:rPr>
      </w:pPr>
      <w:r>
        <w:rPr>
          <w:rFonts w:ascii="Times New Roman" w:hint="eastAsia"/>
          <w:b/>
          <w:bCs/>
          <w:spacing w:val="0"/>
          <w:position w:val="0"/>
          <w:sz w:val="36"/>
          <w:szCs w:val="36"/>
          <w:u w:val="single"/>
        </w:rPr>
        <w:t>产品技术参数</w:t>
      </w:r>
    </w:p>
    <w:p w:rsidR="00C966C1" w:rsidRDefault="005B58A3">
      <w:pPr>
        <w:snapToGrid w:val="0"/>
        <w:spacing w:line="240" w:lineRule="auto"/>
        <w:jc w:val="center"/>
        <w:rPr>
          <w:rFonts w:ascii="Times New Roman"/>
        </w:rPr>
      </w:pPr>
      <w:r>
        <w:rPr>
          <w:rFonts w:ascii="Times New Roman" w:hint="eastAsia"/>
          <w:spacing w:val="0"/>
        </w:rPr>
        <w:t>SpecPed</w:t>
      </w:r>
      <w:r>
        <w:rPr>
          <w:rFonts w:ascii="Times New Roman"/>
          <w:spacing w:val="0"/>
          <w:vertAlign w:val="superscript"/>
        </w:rPr>
        <w:t>®</w:t>
      </w:r>
      <w:r>
        <w:rPr>
          <w:rFonts w:ascii="Times New Roman" w:hint="eastAsia"/>
          <w:spacing w:val="0"/>
          <w:vertAlign w:val="superscript"/>
        </w:rPr>
        <w:t xml:space="preserve"> </w:t>
      </w:r>
      <w:r>
        <w:rPr>
          <w:rFonts w:ascii="Times New Roman" w:hint="eastAsia"/>
          <w:spacing w:val="0"/>
        </w:rPr>
        <w:t>GCu21P(</w:t>
      </w:r>
      <w:r>
        <w:rPr>
          <w:rFonts w:ascii="Times New Roman" w:hint="eastAsia"/>
          <w:spacing w:val="0"/>
        </w:rPr>
        <w:t>铜肽</w:t>
      </w:r>
      <w:r>
        <w:rPr>
          <w:rFonts w:ascii="Times New Roman" w:hint="eastAsia"/>
          <w:spacing w:val="0"/>
        </w:rPr>
        <w:t>(GHK</w:t>
      </w:r>
      <w:r>
        <w:rPr>
          <w:rFonts w:ascii="Times New Roman" w:hint="eastAsia"/>
          <w:spacing w:val="0"/>
          <w:vertAlign w:val="subscript"/>
        </w:rPr>
        <w:t>2</w:t>
      </w:r>
      <w:r>
        <w:rPr>
          <w:rFonts w:ascii="Times New Roman" w:hint="eastAsia"/>
          <w:spacing w:val="0"/>
        </w:rPr>
        <w:t>- Cu))</w:t>
      </w:r>
    </w:p>
    <w:p w:rsidR="00C966C1" w:rsidRDefault="00C966C1">
      <w:pPr>
        <w:snapToGrid w:val="0"/>
        <w:spacing w:line="240" w:lineRule="auto"/>
        <w:rPr>
          <w:rFonts w:ascii="Times New Roman"/>
        </w:rPr>
      </w:pPr>
    </w:p>
    <w:p w:rsidR="00C966C1" w:rsidRDefault="005B58A3">
      <w:pPr>
        <w:snapToGrid w:val="0"/>
        <w:spacing w:line="240" w:lineRule="auto"/>
        <w:rPr>
          <w:rFonts w:ascii="Times New Roman"/>
        </w:rPr>
      </w:pPr>
      <w:r>
        <w:rPr>
          <w:rFonts w:ascii="Times New Roman"/>
          <w:spacing w:val="0"/>
        </w:rPr>
        <w:t>铜</w:t>
      </w:r>
      <w:r>
        <w:rPr>
          <w:rFonts w:ascii="Times New Roman" w:hint="eastAsia"/>
          <w:spacing w:val="0"/>
        </w:rPr>
        <w:t>存在</w:t>
      </w:r>
      <w:r>
        <w:rPr>
          <w:rFonts w:ascii="Times New Roman"/>
          <w:spacing w:val="0"/>
        </w:rPr>
        <w:t>所有重要的真核有机体</w:t>
      </w:r>
      <w:r>
        <w:rPr>
          <w:rFonts w:ascii="Times New Roman" w:hint="eastAsia"/>
          <w:spacing w:val="0"/>
        </w:rPr>
        <w:t>，铜肽是铜的传递形式，包含了铜的所有功能，具有修复和重塑肌肤，抗皱，抗老化，紧致肌肤和扩大的毛囊促进毛发生长等功能。</w:t>
      </w:r>
    </w:p>
    <w:p w:rsidR="00C966C1" w:rsidRDefault="00C966C1">
      <w:pPr>
        <w:snapToGrid w:val="0"/>
        <w:spacing w:line="240" w:lineRule="auto"/>
        <w:rPr>
          <w:rFonts w:ascii="Times New Roman"/>
        </w:rPr>
      </w:pPr>
    </w:p>
    <w:p w:rsidR="00C966C1" w:rsidRDefault="005B58A3">
      <w:pPr>
        <w:snapToGrid w:val="0"/>
        <w:spacing w:line="240" w:lineRule="auto"/>
        <w:rPr>
          <w:rFonts w:ascii="Times New Roman"/>
        </w:rPr>
      </w:pPr>
      <w:r>
        <w:rPr>
          <w:rFonts w:ascii="Times New Roman" w:hint="eastAsia"/>
          <w:spacing w:val="0"/>
        </w:rPr>
        <w:t>CAS No.</w:t>
      </w:r>
      <w:r>
        <w:rPr>
          <w:rFonts w:ascii="Times New Roman" w:hint="eastAsia"/>
          <w:spacing w:val="0"/>
        </w:rPr>
        <w:t>：</w:t>
      </w:r>
      <w:r>
        <w:rPr>
          <w:rFonts w:ascii="Times New Roman" w:hint="eastAsia"/>
          <w:spacing w:val="0"/>
        </w:rPr>
        <w:t xml:space="preserve">  130120-57-9</w:t>
      </w:r>
    </w:p>
    <w:p w:rsidR="00C966C1" w:rsidRDefault="005B58A3">
      <w:pPr>
        <w:snapToGrid w:val="0"/>
        <w:spacing w:line="240" w:lineRule="auto"/>
        <w:rPr>
          <w:rFonts w:ascii="Times New Roman"/>
        </w:rPr>
      </w:pPr>
      <w:r>
        <w:rPr>
          <w:rFonts w:ascii="Times New Roman" w:hint="eastAsia"/>
          <w:spacing w:val="0"/>
        </w:rPr>
        <w:t>国际名称</w:t>
      </w:r>
      <w:r>
        <w:rPr>
          <w:rFonts w:ascii="Times New Roman" w:hint="eastAsia"/>
          <w:spacing w:val="0"/>
        </w:rPr>
        <w:t xml:space="preserve">:  </w:t>
      </w:r>
      <w:r>
        <w:rPr>
          <w:rFonts w:ascii="Times New Roman"/>
          <w:spacing w:val="0"/>
        </w:rPr>
        <w:t xml:space="preserve"> </w:t>
      </w:r>
      <w:r>
        <w:rPr>
          <w:rFonts w:ascii="Times New Roman" w:hint="eastAsia"/>
          <w:spacing w:val="0"/>
        </w:rPr>
        <w:t>三肽</w:t>
      </w:r>
      <w:r>
        <w:rPr>
          <w:rFonts w:ascii="Times New Roman" w:hint="eastAsia"/>
          <w:spacing w:val="0"/>
        </w:rPr>
        <w:t>-1</w:t>
      </w:r>
      <w:r>
        <w:rPr>
          <w:rFonts w:ascii="Times New Roman" w:hint="eastAsia"/>
          <w:spacing w:val="0"/>
        </w:rPr>
        <w:t>铜</w:t>
      </w:r>
      <w:r>
        <w:rPr>
          <w:rFonts w:ascii="Times New Roman" w:hint="eastAsia"/>
          <w:spacing w:val="0"/>
        </w:rPr>
        <w:t>/</w:t>
      </w:r>
      <w:r w:rsidRPr="005B58A3">
        <w:rPr>
          <w:rFonts w:ascii="Times New Roman"/>
          <w:spacing w:val="0"/>
        </w:rPr>
        <w:t xml:space="preserve"> </w:t>
      </w:r>
      <w:r w:rsidRPr="005B58A3">
        <w:rPr>
          <w:rFonts w:ascii="Times New Roman"/>
          <w:spacing w:val="0"/>
        </w:rPr>
        <w:t>Bis(Tripeptide-1) Copper Acetate</w:t>
      </w:r>
    </w:p>
    <w:p w:rsidR="00C966C1" w:rsidRDefault="00C966C1">
      <w:pPr>
        <w:snapToGrid w:val="0"/>
        <w:spacing w:line="240" w:lineRule="auto"/>
        <w:rPr>
          <w:rFonts w:ascii="Times New Roman"/>
        </w:rPr>
      </w:pPr>
    </w:p>
    <w:p w:rsidR="00C966C1" w:rsidRDefault="005B58A3">
      <w:pPr>
        <w:snapToGrid w:val="0"/>
        <w:spacing w:line="240" w:lineRule="auto"/>
        <w:jc w:val="left"/>
        <w:rPr>
          <w:b/>
          <w:bCs/>
          <w:sz w:val="44"/>
          <w:u w:val="single"/>
        </w:rPr>
      </w:pPr>
      <w:r>
        <w:rPr>
          <w:rFonts w:ascii="Times New Roman" w:hint="eastAsia"/>
          <w:b/>
          <w:bCs/>
          <w:spacing w:val="0"/>
        </w:rPr>
        <w:t>质量标准：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4609"/>
      </w:tblGrid>
      <w:tr w:rsidR="00C966C1">
        <w:trPr>
          <w:trHeight w:val="538"/>
          <w:jc w:val="center"/>
        </w:trPr>
        <w:tc>
          <w:tcPr>
            <w:tcW w:w="3663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  <w:spacing w:val="0"/>
              </w:rPr>
              <w:t>指标</w:t>
            </w:r>
          </w:p>
        </w:tc>
        <w:tc>
          <w:tcPr>
            <w:tcW w:w="4609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  <w:spacing w:val="0"/>
              </w:rPr>
              <w:t>标准</w:t>
            </w:r>
          </w:p>
        </w:tc>
      </w:tr>
      <w:tr w:rsidR="00C966C1">
        <w:trPr>
          <w:trHeight w:val="215"/>
          <w:jc w:val="center"/>
        </w:trPr>
        <w:tc>
          <w:tcPr>
            <w:tcW w:w="3663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</w:rPr>
            </w:pPr>
            <w:r>
              <w:rPr>
                <w:rFonts w:ascii="Times New Roman" w:hint="eastAsia"/>
                <w:spacing w:val="0"/>
              </w:rPr>
              <w:t>外观</w:t>
            </w:r>
          </w:p>
        </w:tc>
        <w:tc>
          <w:tcPr>
            <w:tcW w:w="4609" w:type="dxa"/>
          </w:tcPr>
          <w:p w:rsidR="00C966C1" w:rsidRDefault="005B58A3">
            <w:pPr>
              <w:pStyle w:val="a4"/>
              <w:snapToGrid w:val="0"/>
              <w:spacing w:line="240" w:lineRule="auto"/>
              <w:rPr>
                <w:rFonts w:eastAsia="仿宋_GB2312"/>
              </w:rPr>
            </w:pPr>
            <w:r>
              <w:rPr>
                <w:rFonts w:eastAsia="仿宋_GB2312" w:hint="eastAsia"/>
                <w:spacing w:val="0"/>
              </w:rPr>
              <w:t>蓝色粉末</w:t>
            </w:r>
          </w:p>
        </w:tc>
      </w:tr>
      <w:tr w:rsidR="00C966C1">
        <w:trPr>
          <w:trHeight w:val="158"/>
          <w:jc w:val="center"/>
        </w:trPr>
        <w:tc>
          <w:tcPr>
            <w:tcW w:w="3663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分子量</w:t>
            </w:r>
          </w:p>
        </w:tc>
        <w:tc>
          <w:tcPr>
            <w:tcW w:w="4609" w:type="dxa"/>
          </w:tcPr>
          <w:p w:rsidR="00C966C1" w:rsidRDefault="005B58A3">
            <w:pPr>
              <w:pStyle w:val="a4"/>
              <w:snapToGrid w:val="0"/>
              <w:spacing w:line="240" w:lineRule="auto"/>
              <w:rPr>
                <w:rFonts w:eastAsia="仿宋_GB2312"/>
                <w:spacing w:val="0"/>
              </w:rPr>
            </w:pPr>
            <w:r>
              <w:rPr>
                <w:rFonts w:hint="eastAsia"/>
              </w:rPr>
              <w:t>862.39</w:t>
            </w:r>
          </w:p>
        </w:tc>
      </w:tr>
      <w:tr w:rsidR="00C966C1">
        <w:trPr>
          <w:jc w:val="center"/>
        </w:trPr>
        <w:tc>
          <w:tcPr>
            <w:tcW w:w="3663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  <w:spacing w:val="0"/>
              </w:rPr>
              <w:t>ESI-</w:t>
            </w:r>
            <w:r>
              <w:rPr>
                <w:rFonts w:ascii="Times New Roman" w:hint="eastAsia"/>
                <w:spacing w:val="0"/>
              </w:rPr>
              <w:t>M</w:t>
            </w:r>
            <w:r>
              <w:rPr>
                <w:rFonts w:ascii="Times New Roman"/>
                <w:spacing w:val="0"/>
              </w:rPr>
              <w:t>AS</w:t>
            </w:r>
            <w:r>
              <w:rPr>
                <w:rFonts w:ascii="Times New Roman" w:hint="eastAsia"/>
                <w:spacing w:val="0"/>
              </w:rPr>
              <w:t>S</w:t>
            </w:r>
            <w:r>
              <w:rPr>
                <w:rFonts w:ascii="Times New Roman" w:hint="eastAsia"/>
                <w:spacing w:val="0"/>
              </w:rPr>
              <w:t>（</w:t>
            </w:r>
            <w:r>
              <w:rPr>
                <w:rFonts w:ascii="Times New Roman"/>
                <w:spacing w:val="0"/>
              </w:rPr>
              <w:t>GHK</w:t>
            </w:r>
            <w:r>
              <w:rPr>
                <w:rFonts w:ascii="Times New Roman" w:hint="eastAsia"/>
                <w:spacing w:val="0"/>
              </w:rPr>
              <w:t>）</w:t>
            </w:r>
          </w:p>
        </w:tc>
        <w:tc>
          <w:tcPr>
            <w:tcW w:w="4609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</w:rPr>
            </w:pPr>
            <w:r>
              <w:rPr>
                <w:rFonts w:ascii="Times New Roman" w:hint="eastAsia"/>
                <w:spacing w:val="0"/>
              </w:rPr>
              <w:t>340.37</w:t>
            </w:r>
            <w:r>
              <w:rPr>
                <w:rFonts w:ascii="Times New Roman" w:hint="eastAsia"/>
                <w:spacing w:val="0"/>
              </w:rPr>
              <w:t>±</w:t>
            </w:r>
            <w:r>
              <w:rPr>
                <w:rFonts w:ascii="Times New Roman" w:hint="eastAsia"/>
                <w:spacing w:val="0"/>
              </w:rPr>
              <w:t>1</w:t>
            </w:r>
          </w:p>
        </w:tc>
      </w:tr>
      <w:tr w:rsidR="00C966C1">
        <w:trPr>
          <w:jc w:val="center"/>
        </w:trPr>
        <w:tc>
          <w:tcPr>
            <w:tcW w:w="3663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</w:rPr>
            </w:pPr>
            <w:r>
              <w:rPr>
                <w:rFonts w:ascii="Times New Roman" w:hint="eastAsia"/>
                <w:spacing w:val="0"/>
              </w:rPr>
              <w:t>纯度</w:t>
            </w:r>
            <w:r>
              <w:rPr>
                <w:rFonts w:ascii="Times New Roman"/>
                <w:spacing w:val="0"/>
              </w:rPr>
              <w:t xml:space="preserve">(HPLC) </w:t>
            </w:r>
          </w:p>
        </w:tc>
        <w:tc>
          <w:tcPr>
            <w:tcW w:w="4609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</w:rPr>
            </w:pPr>
            <w:r>
              <w:rPr>
                <w:rFonts w:ascii="Times New Roman" w:hint="eastAsia"/>
                <w:spacing w:val="0"/>
              </w:rPr>
              <w:t>≥</w:t>
            </w:r>
            <w:r>
              <w:rPr>
                <w:rFonts w:ascii="Times New Roman"/>
                <w:spacing w:val="0"/>
              </w:rPr>
              <w:t>95.0 %</w:t>
            </w:r>
          </w:p>
        </w:tc>
      </w:tr>
      <w:tr w:rsidR="00C966C1">
        <w:trPr>
          <w:jc w:val="center"/>
        </w:trPr>
        <w:tc>
          <w:tcPr>
            <w:tcW w:w="3663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</w:rPr>
            </w:pPr>
            <w:r>
              <w:rPr>
                <w:rFonts w:ascii="Times New Roman" w:hint="eastAsia"/>
                <w:spacing w:val="0"/>
              </w:rPr>
              <w:t>水分</w:t>
            </w:r>
            <w:r>
              <w:rPr>
                <w:rFonts w:ascii="Times New Roman"/>
                <w:spacing w:val="0"/>
              </w:rPr>
              <w:t xml:space="preserve"> (K.F.)</w:t>
            </w:r>
          </w:p>
        </w:tc>
        <w:tc>
          <w:tcPr>
            <w:tcW w:w="4609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</w:rPr>
            </w:pPr>
            <w:r>
              <w:rPr>
                <w:rFonts w:ascii="Times New Roman" w:hint="eastAsia"/>
                <w:spacing w:val="0"/>
              </w:rPr>
              <w:t>≤</w:t>
            </w:r>
            <w:r>
              <w:rPr>
                <w:rFonts w:ascii="Times New Roman"/>
                <w:spacing w:val="0"/>
              </w:rPr>
              <w:t>8.0 %</w:t>
            </w:r>
          </w:p>
        </w:tc>
      </w:tr>
      <w:tr w:rsidR="00C966C1">
        <w:trPr>
          <w:jc w:val="center"/>
        </w:trPr>
        <w:tc>
          <w:tcPr>
            <w:tcW w:w="3663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  <w:bCs/>
                <w:spacing w:val="0"/>
              </w:rPr>
              <w:t>Cu</w:t>
            </w:r>
            <w:r>
              <w:rPr>
                <w:rFonts w:ascii="Times New Roman"/>
                <w:bCs/>
                <w:spacing w:val="0"/>
                <w:vertAlign w:val="superscript"/>
              </w:rPr>
              <w:t>+</w:t>
            </w:r>
            <w:r>
              <w:rPr>
                <w:rFonts w:ascii="Times New Roman" w:hint="eastAsia"/>
                <w:bCs/>
                <w:spacing w:val="0"/>
              </w:rPr>
              <w:t>含量</w:t>
            </w:r>
          </w:p>
        </w:tc>
        <w:tc>
          <w:tcPr>
            <w:tcW w:w="4609" w:type="dxa"/>
          </w:tcPr>
          <w:p w:rsidR="00C966C1" w:rsidRDefault="005B58A3">
            <w:pPr>
              <w:snapToGrid w:val="0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  <w:spacing w:val="0"/>
              </w:rPr>
              <w:t>4-8%</w:t>
            </w:r>
          </w:p>
        </w:tc>
      </w:tr>
    </w:tbl>
    <w:p w:rsidR="00C966C1" w:rsidRDefault="00C966C1">
      <w:pPr>
        <w:snapToGrid w:val="0"/>
        <w:spacing w:line="240" w:lineRule="auto"/>
        <w:rPr>
          <w:rFonts w:ascii="Times New Roman"/>
        </w:rPr>
      </w:pPr>
    </w:p>
    <w:p w:rsidR="00C966C1" w:rsidRDefault="005B58A3">
      <w:pPr>
        <w:snapToGrid w:val="0"/>
        <w:spacing w:line="240" w:lineRule="auto"/>
        <w:rPr>
          <w:rFonts w:ascii="Times New Roman"/>
          <w:b/>
          <w:bCs/>
        </w:rPr>
      </w:pPr>
      <w:r>
        <w:rPr>
          <w:rFonts w:ascii="Times New Roman" w:hint="eastAsia"/>
          <w:b/>
          <w:bCs/>
          <w:spacing w:val="0"/>
        </w:rPr>
        <w:t>化妆品应用</w:t>
      </w:r>
      <w:r>
        <w:rPr>
          <w:rFonts w:ascii="Times New Roman" w:hint="eastAsia"/>
          <w:b/>
          <w:bCs/>
          <w:spacing w:val="0"/>
        </w:rPr>
        <w:t>:</w:t>
      </w:r>
    </w:p>
    <w:p w:rsidR="00C966C1" w:rsidRDefault="005B58A3">
      <w:pPr>
        <w:snapToGrid w:val="0"/>
        <w:spacing w:line="240" w:lineRule="auto"/>
        <w:rPr>
          <w:rFonts w:ascii="Times New Roman"/>
        </w:rPr>
      </w:pPr>
      <w:r>
        <w:rPr>
          <w:rFonts w:ascii="Times New Roman" w:hint="eastAsia"/>
          <w:spacing w:val="0"/>
        </w:rPr>
        <w:t>皮肤护理</w:t>
      </w:r>
      <w:r>
        <w:rPr>
          <w:rFonts w:ascii="Times New Roman" w:hint="eastAsia"/>
          <w:spacing w:val="0"/>
        </w:rPr>
        <w:t>:</w:t>
      </w:r>
      <w:r>
        <w:rPr>
          <w:rFonts w:ascii="Times New Roman" w:hint="eastAsia"/>
          <w:spacing w:val="0"/>
        </w:rPr>
        <w:t>抗皱，抗衰老，晒后修复，保湿等产品；</w:t>
      </w:r>
    </w:p>
    <w:p w:rsidR="00C966C1" w:rsidRDefault="005B58A3">
      <w:pPr>
        <w:snapToGrid w:val="0"/>
        <w:spacing w:line="240" w:lineRule="auto"/>
        <w:rPr>
          <w:rFonts w:ascii="Times New Roman"/>
        </w:rPr>
      </w:pPr>
      <w:r>
        <w:rPr>
          <w:rFonts w:ascii="Times New Roman" w:hint="eastAsia"/>
          <w:spacing w:val="0"/>
        </w:rPr>
        <w:t>头发护理</w:t>
      </w:r>
      <w:r>
        <w:rPr>
          <w:rFonts w:ascii="Times New Roman" w:hint="eastAsia"/>
          <w:spacing w:val="0"/>
        </w:rPr>
        <w:t>:</w:t>
      </w:r>
      <w:r>
        <w:rPr>
          <w:rFonts w:ascii="Times New Roman" w:hint="eastAsia"/>
          <w:spacing w:val="0"/>
        </w:rPr>
        <w:t>头发生长产品：喷雾，护发素等；</w:t>
      </w:r>
    </w:p>
    <w:p w:rsidR="00C966C1" w:rsidRDefault="005B58A3">
      <w:pPr>
        <w:snapToGrid w:val="0"/>
        <w:spacing w:line="240" w:lineRule="auto"/>
        <w:rPr>
          <w:rFonts w:ascii="Times New Roman"/>
        </w:rPr>
      </w:pPr>
      <w:r>
        <w:rPr>
          <w:rFonts w:ascii="Times New Roman" w:hint="eastAsia"/>
          <w:spacing w:val="0"/>
        </w:rPr>
        <w:t>包装</w:t>
      </w:r>
      <w:r>
        <w:rPr>
          <w:rFonts w:ascii="Times New Roman" w:hint="eastAsia"/>
          <w:spacing w:val="0"/>
        </w:rPr>
        <w:t>:1g,10g,50g,100g/</w:t>
      </w:r>
      <w:r>
        <w:rPr>
          <w:rFonts w:ascii="Times New Roman" w:hint="eastAsia"/>
          <w:spacing w:val="0"/>
        </w:rPr>
        <w:t>瓶。</w:t>
      </w:r>
    </w:p>
    <w:p w:rsidR="00C966C1" w:rsidRDefault="005B58A3">
      <w:pPr>
        <w:snapToGrid w:val="0"/>
        <w:spacing w:line="240" w:lineRule="auto"/>
        <w:rPr>
          <w:rFonts w:ascii="Times New Roman"/>
          <w:spacing w:val="0"/>
        </w:rPr>
      </w:pPr>
      <w:r>
        <w:rPr>
          <w:rFonts w:ascii="Times New Roman" w:hint="eastAsia"/>
          <w:spacing w:val="0"/>
        </w:rPr>
        <w:t>贮存</w:t>
      </w:r>
      <w:r>
        <w:rPr>
          <w:rFonts w:ascii="Times New Roman" w:hint="eastAsia"/>
          <w:spacing w:val="0"/>
        </w:rPr>
        <w:t>:</w:t>
      </w:r>
      <w:r>
        <w:rPr>
          <w:rFonts w:ascii="Times New Roman" w:hint="eastAsia"/>
          <w:spacing w:val="0"/>
        </w:rPr>
        <w:t>一般贮存：</w:t>
      </w:r>
      <w:r>
        <w:rPr>
          <w:rFonts w:ascii="Times New Roman" w:hint="eastAsia"/>
          <w:spacing w:val="0"/>
        </w:rPr>
        <w:t>2-8</w:t>
      </w:r>
      <w:r>
        <w:rPr>
          <w:rFonts w:ascii="Times New Roman" w:hint="eastAsia"/>
          <w:spacing w:val="0"/>
        </w:rPr>
        <w:t>℃</w:t>
      </w:r>
      <w:r>
        <w:rPr>
          <w:rFonts w:ascii="Times New Roman" w:hint="eastAsia"/>
          <w:spacing w:val="0"/>
        </w:rPr>
        <w:t>,</w:t>
      </w:r>
      <w:r>
        <w:rPr>
          <w:rFonts w:ascii="Times New Roman" w:hint="eastAsia"/>
          <w:spacing w:val="0"/>
        </w:rPr>
        <w:t>阴凉干燥干净处。</w:t>
      </w:r>
      <w:r>
        <w:rPr>
          <w:rFonts w:ascii="Times New Roman" w:hint="eastAsia"/>
          <w:spacing w:val="0"/>
        </w:rPr>
        <w:t>长期贮存：</w:t>
      </w:r>
      <w:r>
        <w:rPr>
          <w:rFonts w:ascii="Times New Roman" w:hint="eastAsia"/>
          <w:spacing w:val="0"/>
        </w:rPr>
        <w:t>-20</w:t>
      </w:r>
      <w:r>
        <w:rPr>
          <w:rFonts w:ascii="Times New Roman" w:hint="eastAsia"/>
          <w:spacing w:val="0"/>
        </w:rPr>
        <w:t>℃</w:t>
      </w:r>
      <w:r>
        <w:rPr>
          <w:rFonts w:ascii="Times New Roman" w:hint="eastAsia"/>
          <w:spacing w:val="0"/>
        </w:rPr>
        <w:t>。</w:t>
      </w:r>
    </w:p>
    <w:p w:rsidR="00C966C1" w:rsidRDefault="005B58A3">
      <w:pPr>
        <w:snapToGrid w:val="0"/>
        <w:spacing w:line="240" w:lineRule="auto"/>
        <w:rPr>
          <w:rFonts w:ascii="Times New Roman"/>
        </w:rPr>
      </w:pPr>
      <w:r>
        <w:rPr>
          <w:rFonts w:ascii="Times New Roman" w:hint="eastAsia"/>
          <w:spacing w:val="0"/>
        </w:rPr>
        <w:t>保质期</w:t>
      </w:r>
      <w:r>
        <w:rPr>
          <w:rFonts w:ascii="Times New Roman" w:hint="eastAsia"/>
          <w:spacing w:val="0"/>
        </w:rPr>
        <w:t>:2</w:t>
      </w:r>
      <w:r>
        <w:rPr>
          <w:rFonts w:ascii="Times New Roman" w:hint="eastAsia"/>
          <w:spacing w:val="0"/>
        </w:rPr>
        <w:t>年</w:t>
      </w:r>
      <w:r>
        <w:rPr>
          <w:rFonts w:ascii="Times New Roman" w:hint="eastAsia"/>
          <w:spacing w:val="0"/>
        </w:rPr>
        <w:t>（一般贮存）</w:t>
      </w:r>
      <w:r>
        <w:rPr>
          <w:rFonts w:ascii="Times New Roman" w:hint="eastAsia"/>
          <w:spacing w:val="0"/>
        </w:rPr>
        <w:t>。</w:t>
      </w:r>
      <w:bookmarkStart w:id="0" w:name="_GoBack"/>
      <w:bookmarkEnd w:id="0"/>
    </w:p>
    <w:p w:rsidR="00C966C1" w:rsidRDefault="00C966C1">
      <w:pPr>
        <w:snapToGrid w:val="0"/>
        <w:spacing w:line="240" w:lineRule="auto"/>
        <w:rPr>
          <w:rFonts w:ascii="Times New Roman"/>
          <w:bCs/>
          <w:szCs w:val="28"/>
        </w:rPr>
      </w:pPr>
    </w:p>
    <w:p w:rsidR="00C966C1" w:rsidRDefault="00C966C1">
      <w:pPr>
        <w:tabs>
          <w:tab w:val="left" w:pos="330"/>
        </w:tabs>
        <w:autoSpaceDE w:val="0"/>
        <w:autoSpaceDN w:val="0"/>
        <w:snapToGrid w:val="0"/>
        <w:spacing w:line="240" w:lineRule="auto"/>
        <w:jc w:val="left"/>
        <w:rPr>
          <w:rFonts w:ascii="Times New Roman" w:eastAsiaTheme="minorEastAsia"/>
          <w:b/>
          <w:bCs/>
          <w:spacing w:val="0"/>
          <w:kern w:val="0"/>
          <w:position w:val="0"/>
          <w:sz w:val="24"/>
          <w:szCs w:val="24"/>
        </w:rPr>
      </w:pPr>
    </w:p>
    <w:p w:rsidR="00C966C1" w:rsidRDefault="00C966C1">
      <w:pPr>
        <w:tabs>
          <w:tab w:val="left" w:pos="330"/>
        </w:tabs>
        <w:autoSpaceDE w:val="0"/>
        <w:autoSpaceDN w:val="0"/>
        <w:snapToGrid w:val="0"/>
        <w:spacing w:line="240" w:lineRule="auto"/>
        <w:jc w:val="left"/>
        <w:rPr>
          <w:rFonts w:ascii="Times New Roman" w:eastAsiaTheme="minorEastAsia"/>
          <w:b/>
          <w:bCs/>
          <w:spacing w:val="0"/>
          <w:kern w:val="0"/>
          <w:position w:val="0"/>
          <w:sz w:val="24"/>
          <w:szCs w:val="24"/>
        </w:rPr>
      </w:pPr>
    </w:p>
    <w:sectPr w:rsidR="00C966C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58A3">
      <w:pPr>
        <w:spacing w:line="240" w:lineRule="auto"/>
      </w:pPr>
      <w:r>
        <w:separator/>
      </w:r>
    </w:p>
  </w:endnote>
  <w:endnote w:type="continuationSeparator" w:id="0">
    <w:p w:rsidR="00000000" w:rsidRDefault="005B5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C1" w:rsidRDefault="005B58A3">
    <w:pPr>
      <w:rPr>
        <w:rFonts w:ascii="Times New Roman"/>
      </w:rPr>
    </w:pPr>
    <w:r>
      <w:rPr>
        <w:noProof/>
      </w:rPr>
      <w:drawing>
        <wp:inline distT="0" distB="0" distL="0" distR="0" wp14:anchorId="2037D12B" wp14:editId="186011E0">
          <wp:extent cx="6188710" cy="40767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公司页眉页脚转曲定2017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58A3">
      <w:pPr>
        <w:spacing w:line="240" w:lineRule="auto"/>
      </w:pPr>
      <w:r>
        <w:separator/>
      </w:r>
    </w:p>
  </w:footnote>
  <w:footnote w:type="continuationSeparator" w:id="0">
    <w:p w:rsidR="00000000" w:rsidRDefault="005B5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C1" w:rsidRDefault="005B58A3">
    <w:pPr>
      <w:pStyle w:val="a7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 wp14:anchorId="1AA6ACC1" wp14:editId="073E3A77">
          <wp:extent cx="6188710" cy="509270"/>
          <wp:effectExtent l="0" t="0" r="0" b="0"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页眉定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D7"/>
    <w:rsid w:val="00024A3F"/>
    <w:rsid w:val="00030004"/>
    <w:rsid w:val="000B4260"/>
    <w:rsid w:val="000B5673"/>
    <w:rsid w:val="00141986"/>
    <w:rsid w:val="001B6155"/>
    <w:rsid w:val="001E745C"/>
    <w:rsid w:val="002D1C1D"/>
    <w:rsid w:val="00332423"/>
    <w:rsid w:val="00347975"/>
    <w:rsid w:val="003678DC"/>
    <w:rsid w:val="00387B26"/>
    <w:rsid w:val="003F4CA8"/>
    <w:rsid w:val="00401996"/>
    <w:rsid w:val="00425CEC"/>
    <w:rsid w:val="004A1021"/>
    <w:rsid w:val="004A4174"/>
    <w:rsid w:val="004F36CB"/>
    <w:rsid w:val="0056710A"/>
    <w:rsid w:val="005B58A3"/>
    <w:rsid w:val="005C77CE"/>
    <w:rsid w:val="006501E1"/>
    <w:rsid w:val="006938C2"/>
    <w:rsid w:val="006A103B"/>
    <w:rsid w:val="006B2B3D"/>
    <w:rsid w:val="006C1247"/>
    <w:rsid w:val="00714827"/>
    <w:rsid w:val="007E5248"/>
    <w:rsid w:val="007F1570"/>
    <w:rsid w:val="00887104"/>
    <w:rsid w:val="0091428D"/>
    <w:rsid w:val="00923214"/>
    <w:rsid w:val="00994405"/>
    <w:rsid w:val="009944F5"/>
    <w:rsid w:val="009B489B"/>
    <w:rsid w:val="009E49ED"/>
    <w:rsid w:val="00A12ED7"/>
    <w:rsid w:val="00A3608C"/>
    <w:rsid w:val="00AC5B50"/>
    <w:rsid w:val="00AF4BCC"/>
    <w:rsid w:val="00B23ADB"/>
    <w:rsid w:val="00B5067E"/>
    <w:rsid w:val="00B55475"/>
    <w:rsid w:val="00BE5942"/>
    <w:rsid w:val="00BF32EC"/>
    <w:rsid w:val="00C72D96"/>
    <w:rsid w:val="00C966C1"/>
    <w:rsid w:val="00CB51F3"/>
    <w:rsid w:val="00D01A40"/>
    <w:rsid w:val="00D05594"/>
    <w:rsid w:val="00D30FE7"/>
    <w:rsid w:val="00D36273"/>
    <w:rsid w:val="00D46765"/>
    <w:rsid w:val="00DF76E2"/>
    <w:rsid w:val="00E65C16"/>
    <w:rsid w:val="00E833DC"/>
    <w:rsid w:val="00E942DC"/>
    <w:rsid w:val="00ED27EE"/>
    <w:rsid w:val="00ED7EFC"/>
    <w:rsid w:val="00EE7768"/>
    <w:rsid w:val="00F0062F"/>
    <w:rsid w:val="00F26DB9"/>
    <w:rsid w:val="00F51EFB"/>
    <w:rsid w:val="00FC71FE"/>
    <w:rsid w:val="00FE4095"/>
    <w:rsid w:val="21AE42C5"/>
    <w:rsid w:val="277B2ACD"/>
    <w:rsid w:val="2BE00783"/>
    <w:rsid w:val="502A4C0C"/>
    <w:rsid w:val="595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5:docId w15:val="{3B5CDA98-3AC9-440D-80FE-F57998E4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Arial" w:eastAsia="仿宋_GB2312" w:hAnsi="Times New Roman" w:cs="Times New Roman"/>
      <w:spacing w:val="-20"/>
      <w:kern w:val="16"/>
      <w:position w:val="-16"/>
      <w:sz w:val="28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0"/>
    <w:link w:val="4Char"/>
    <w:qFormat/>
    <w:pPr>
      <w:keepNext/>
      <w:ind w:left="850" w:firstLine="425"/>
      <w:jc w:val="center"/>
      <w:textAlignment w:val="baseline"/>
      <w:outlineLvl w:val="3"/>
    </w:pPr>
    <w:rPr>
      <w:b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textAlignment w:val="baseline"/>
    </w:pPr>
    <w:rPr>
      <w:rFonts w:ascii="Times New Roman" w:eastAsia="宋体"/>
    </w:rPr>
  </w:style>
  <w:style w:type="paragraph" w:styleId="a5">
    <w:name w:val="Balloon Text"/>
    <w:basedOn w:val="a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kern w:val="2"/>
      <w:position w:val="0"/>
      <w:sz w:val="18"/>
      <w:szCs w:val="18"/>
    </w:rPr>
  </w:style>
  <w:style w:type="character" w:styleId="a8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4Char">
    <w:name w:val="标题 4 Char"/>
    <w:basedOn w:val="a1"/>
    <w:link w:val="4"/>
    <w:qFormat/>
    <w:rPr>
      <w:rFonts w:ascii="Arial" w:eastAsia="仿宋_GB2312" w:hAnsi="Times New Roman" w:cs="Times New Roman"/>
      <w:b/>
      <w:spacing w:val="-20"/>
      <w:kern w:val="16"/>
      <w:position w:val="-16"/>
      <w:sz w:val="28"/>
      <w:szCs w:val="20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rFonts w:ascii="Arial" w:eastAsia="仿宋_GB2312" w:hAnsi="Times New Roman" w:cs="Times New Roman"/>
      <w:spacing w:val="-20"/>
      <w:kern w:val="16"/>
      <w:position w:val="-16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Pr>
      <w:rFonts w:ascii="Arial" w:eastAsia="仿宋_GB2312" w:hAnsi="Times New Roman" w:cs="Times New Roman"/>
      <w:b/>
      <w:bCs/>
      <w:spacing w:val="-20"/>
      <w:kern w:val="44"/>
      <w:position w:val="-16"/>
      <w:sz w:val="44"/>
      <w:szCs w:val="44"/>
    </w:rPr>
  </w:style>
  <w:style w:type="character" w:customStyle="1" w:styleId="Char">
    <w:name w:val="日期 Char"/>
    <w:basedOn w:val="a1"/>
    <w:link w:val="a4"/>
    <w:qFormat/>
    <w:rPr>
      <w:rFonts w:ascii="Times New Roman" w:eastAsia="宋体" w:hAnsi="Times New Roman" w:cs="Times New Roman"/>
      <w:spacing w:val="-20"/>
      <w:kern w:val="16"/>
      <w:position w:val="-16"/>
      <w:sz w:val="28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6Char">
    <w:name w:val="标题 6 Char"/>
    <w:basedOn w:val="a1"/>
    <w:link w:val="6"/>
    <w:uiPriority w:val="9"/>
    <w:semiHidden/>
    <w:qFormat/>
    <w:rPr>
      <w:rFonts w:asciiTheme="majorHAnsi" w:eastAsiaTheme="majorEastAsia" w:hAnsiTheme="majorHAnsi" w:cstheme="majorBidi"/>
      <w:b/>
      <w:bCs/>
      <w:spacing w:val="-20"/>
      <w:kern w:val="16"/>
      <w:position w:val="-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4"/>
    <customShpInfo spid="_x0000_s4103"/>
    <customShpInfo spid="_x0000_s4102"/>
    <customShpInfo spid="_x0000_s4101"/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8701C-353A-4DE2-AC2C-79EE2BAE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2016-10-10T07:53:00Z</cp:lastPrinted>
  <dcterms:created xsi:type="dcterms:W3CDTF">2017-08-15T06:42:00Z</dcterms:created>
  <dcterms:modified xsi:type="dcterms:W3CDTF">2017-08-15T06:42:00Z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