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FF" w:rsidRPr="005E26F6" w:rsidRDefault="00BD30FF" w:rsidP="00BD30FF">
      <w:pPr>
        <w:jc w:val="center"/>
        <w:rPr>
          <w:b/>
          <w:color w:val="187FC3"/>
          <w:sz w:val="72"/>
          <w:szCs w:val="72"/>
        </w:rPr>
      </w:pPr>
      <w:r w:rsidRPr="005E26F6">
        <w:rPr>
          <w:rFonts w:hint="eastAsia"/>
          <w:b/>
          <w:color w:val="187FC3"/>
          <w:sz w:val="56"/>
          <w:szCs w:val="72"/>
        </w:rPr>
        <w:t>ExtraPerse-300R</w:t>
      </w:r>
    </w:p>
    <w:p w:rsidR="00BD30FF" w:rsidRDefault="00DB7060" w:rsidP="005E26F6">
      <w:pPr>
        <w:pStyle w:val="2"/>
        <w:spacing w:before="0" w:after="0"/>
      </w:pPr>
      <w:r>
        <w:rPr>
          <w:rFonts w:hint="eastAsia"/>
        </w:rPr>
        <w:t>I</w:t>
      </w:r>
      <w:r>
        <w:t>ntroduction</w:t>
      </w:r>
    </w:p>
    <w:p w:rsidR="00BD30FF" w:rsidRDefault="00455D2E" w:rsidP="00DB7060">
      <w:r w:rsidRPr="00DB7060">
        <w:rPr>
          <w:rFonts w:hint="eastAsia"/>
          <w:b/>
        </w:rPr>
        <w:t>P</w:t>
      </w:r>
      <w:r w:rsidRPr="00DB7060">
        <w:rPr>
          <w:b/>
        </w:rPr>
        <w:t>roduct name</w:t>
      </w:r>
      <w:r w:rsidR="00DB7060">
        <w:rPr>
          <w:rFonts w:hint="eastAsia"/>
          <w:b/>
        </w:rPr>
        <w:t xml:space="preserve">: </w:t>
      </w:r>
      <w:r w:rsidR="00BD30FF">
        <w:rPr>
          <w:rFonts w:hint="eastAsia"/>
        </w:rPr>
        <w:t>ExtraPerse-300R</w:t>
      </w:r>
      <w:r w:rsidR="00BD30FF">
        <w:t xml:space="preserve"> </w:t>
      </w:r>
      <w:r w:rsidR="00C34DD7">
        <w:rPr>
          <w:rFonts w:hint="eastAsia"/>
        </w:rPr>
        <w:t>d</w:t>
      </w:r>
      <w:r w:rsidR="00C34DD7">
        <w:t xml:space="preserve">ispersant </w:t>
      </w:r>
      <w:r w:rsidR="00C34DD7">
        <w:rPr>
          <w:rFonts w:hint="eastAsia"/>
        </w:rPr>
        <w:t>(</w:t>
      </w:r>
      <w:r w:rsidR="00C34DD7">
        <w:t>oil phase</w:t>
      </w:r>
      <w:r w:rsidR="00C34DD7">
        <w:rPr>
          <w:rFonts w:hint="eastAsia"/>
        </w:rPr>
        <w:t>)</w:t>
      </w:r>
    </w:p>
    <w:p w:rsidR="00DB7060" w:rsidRDefault="00DB7060" w:rsidP="00DB7060">
      <w:r>
        <w:rPr>
          <w:b/>
        </w:rPr>
        <w:t xml:space="preserve">Catalogue number: </w:t>
      </w:r>
      <w:r>
        <w:t>EP-300R</w:t>
      </w:r>
    </w:p>
    <w:p w:rsidR="00BD30FF" w:rsidRDefault="00BD30FF" w:rsidP="00BD30FF">
      <w:r w:rsidRPr="00DB7060">
        <w:rPr>
          <w:rFonts w:hint="eastAsia"/>
          <w:b/>
        </w:rPr>
        <w:t>CAS</w:t>
      </w:r>
      <w:r w:rsidR="00455D2E" w:rsidRPr="00DB7060">
        <w:rPr>
          <w:b/>
        </w:rPr>
        <w:t xml:space="preserve"> </w:t>
      </w:r>
      <w:r w:rsidR="00DB7060">
        <w:rPr>
          <w:b/>
        </w:rPr>
        <w:t>number</w:t>
      </w:r>
      <w:r w:rsidR="00DB7060">
        <w:rPr>
          <w:rFonts w:hint="eastAsia"/>
          <w:b/>
        </w:rPr>
        <w:t xml:space="preserve">: </w:t>
      </w:r>
      <w:r>
        <w:t>27924-99-8</w:t>
      </w:r>
    </w:p>
    <w:p w:rsidR="00BD30FF" w:rsidRDefault="007E19A4" w:rsidP="00BD30FF">
      <w:r w:rsidRPr="00DB7060">
        <w:rPr>
          <w:rFonts w:hint="eastAsia"/>
          <w:b/>
        </w:rPr>
        <w:t>INCI</w:t>
      </w:r>
      <w:r w:rsidR="00DB7060">
        <w:rPr>
          <w:b/>
        </w:rPr>
        <w:t xml:space="preserve"> name</w:t>
      </w:r>
      <w:r w:rsidR="00DB7060">
        <w:rPr>
          <w:rFonts w:hint="eastAsia"/>
          <w:b/>
        </w:rPr>
        <w:t xml:space="preserve">: </w:t>
      </w:r>
      <w:proofErr w:type="spellStart"/>
      <w:r w:rsidR="003C0B7C">
        <w:rPr>
          <w:rFonts w:hint="eastAsia"/>
        </w:rPr>
        <w:t>Polyhydroxylstearic</w:t>
      </w:r>
      <w:proofErr w:type="spellEnd"/>
      <w:r w:rsidR="003C0B7C">
        <w:rPr>
          <w:rFonts w:hint="eastAsia"/>
        </w:rPr>
        <w:t xml:space="preserve"> acid</w:t>
      </w:r>
    </w:p>
    <w:p w:rsidR="003C0B7C" w:rsidRDefault="00C34DD7" w:rsidP="003C0B7C">
      <w:r w:rsidRPr="00DB7060">
        <w:rPr>
          <w:b/>
        </w:rPr>
        <w:t>Synonym</w:t>
      </w:r>
      <w:r w:rsidR="00DB7060">
        <w:rPr>
          <w:rFonts w:hint="eastAsia"/>
          <w:b/>
        </w:rPr>
        <w:t xml:space="preserve">: </w:t>
      </w:r>
      <w:r w:rsidRPr="00C34DD7">
        <w:t>POLY(12-HYDROXYSTEARICACID)</w:t>
      </w:r>
    </w:p>
    <w:p w:rsidR="00BD30FF" w:rsidRDefault="00455D2E" w:rsidP="003C0B7C">
      <w:r w:rsidRPr="00DB7060">
        <w:rPr>
          <w:rFonts w:hint="eastAsia"/>
          <w:b/>
        </w:rPr>
        <w:t>A</w:t>
      </w:r>
      <w:r w:rsidRPr="00DB7060">
        <w:rPr>
          <w:b/>
        </w:rPr>
        <w:t>pplication</w:t>
      </w:r>
      <w:r w:rsidR="00DB7060">
        <w:rPr>
          <w:rFonts w:hint="eastAsia"/>
          <w:b/>
        </w:rPr>
        <w:t xml:space="preserve">: </w:t>
      </w:r>
      <w:r w:rsidR="003C0B7C">
        <w:t>ExtraPerse</w:t>
      </w:r>
      <w:r w:rsidR="003C0B7C">
        <w:rPr>
          <w:rFonts w:hint="eastAsia"/>
        </w:rPr>
        <w:t>-</w:t>
      </w:r>
      <w:r w:rsidR="003C0B7C">
        <w:t>300R</w:t>
      </w:r>
      <w:r>
        <w:t xml:space="preserve"> is a biodegradable dispersant for </w:t>
      </w:r>
      <w:r>
        <w:rPr>
          <w:rFonts w:hint="eastAsia"/>
        </w:rPr>
        <w:t>pigments</w:t>
      </w:r>
      <w:r>
        <w:t xml:space="preserve"> and other inorganic powders in oil phase</w:t>
      </w:r>
      <w:r>
        <w:rPr>
          <w:rFonts w:hint="eastAsia"/>
        </w:rPr>
        <w:t xml:space="preserve">. </w:t>
      </w:r>
      <w:r>
        <w:t>It is specially designed for cosmetic and skin-care formulations</w:t>
      </w:r>
      <w:r w:rsidR="00A0745D">
        <w:t xml:space="preserve"> which</w:t>
      </w:r>
      <w:r>
        <w:t xml:space="preserve"> can greatly increase the dispersity of inorganic powder in oil phase and decrease the viscosity. </w:t>
      </w:r>
      <w:r w:rsidR="00711AF3">
        <w:t xml:space="preserve">It makes formula with </w:t>
      </w:r>
      <w:r>
        <w:t>high percentage of powders (as high as 25%)</w:t>
      </w:r>
      <w:r w:rsidR="00711AF3">
        <w:rPr>
          <w:rFonts w:hint="eastAsia"/>
        </w:rPr>
        <w:t xml:space="preserve"> applicable.</w:t>
      </w:r>
    </w:p>
    <w:p w:rsidR="00BD30FF" w:rsidRDefault="0028590F" w:rsidP="00DB7060">
      <w:pPr>
        <w:pStyle w:val="2"/>
        <w:spacing w:after="0"/>
      </w:pPr>
      <w:r w:rsidRPr="008B25C6">
        <w:rPr>
          <w:rFonts w:hint="eastAsia"/>
        </w:rPr>
        <w:t>P</w:t>
      </w:r>
      <w:r w:rsidRPr="008B25C6">
        <w:t>roduct Details</w:t>
      </w:r>
      <w:r w:rsidR="00BD30FF" w:rsidRPr="008B25C6">
        <w:rPr>
          <w:rFonts w:hint="eastAsia"/>
        </w:rPr>
        <w:t>：</w:t>
      </w:r>
    </w:p>
    <w:p w:rsidR="00BD30FF" w:rsidRPr="00DB7060" w:rsidRDefault="0028590F" w:rsidP="00BD30FF">
      <w:pPr>
        <w:rPr>
          <w:b/>
        </w:rPr>
      </w:pPr>
      <w:r w:rsidRPr="00DB7060">
        <w:rPr>
          <w:b/>
        </w:rPr>
        <w:t>Advantages</w:t>
      </w:r>
    </w:p>
    <w:p w:rsidR="00BD30FF" w:rsidRDefault="00A0745D" w:rsidP="005927B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Low viscosity and </w:t>
      </w:r>
      <w:r>
        <w:t>freezing</w:t>
      </w:r>
      <w:r>
        <w:rPr>
          <w:rFonts w:hint="eastAsia"/>
        </w:rPr>
        <w:t xml:space="preserve"> point (</w:t>
      </w:r>
      <w:r>
        <w:t>&lt; 0</w:t>
      </w:r>
      <w:r w:rsidR="00D85795" w:rsidRPr="005927B4">
        <w:t>°</w:t>
      </w:r>
      <w:r>
        <w:t>C</w:t>
      </w:r>
      <w:r>
        <w:rPr>
          <w:rFonts w:hint="eastAsia"/>
        </w:rPr>
        <w:t>)</w:t>
      </w:r>
      <w:r>
        <w:t>, applicable in very wide temperature range</w:t>
      </w:r>
    </w:p>
    <w:p w:rsidR="00BD30FF" w:rsidRDefault="00A0745D" w:rsidP="005927B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B</w:t>
      </w:r>
      <w:r>
        <w:t>iodegradable, no harm or irritation to skin and hair</w:t>
      </w:r>
    </w:p>
    <w:p w:rsidR="00BD30FF" w:rsidRDefault="00A0745D" w:rsidP="005927B4">
      <w:pPr>
        <w:pStyle w:val="a3"/>
        <w:numPr>
          <w:ilvl w:val="0"/>
          <w:numId w:val="2"/>
        </w:numPr>
        <w:ind w:firstLineChars="0"/>
      </w:pPr>
      <w:r>
        <w:t>Superb dispersity, can be used in high powder content formula</w:t>
      </w:r>
    </w:p>
    <w:p w:rsidR="00BD30FF" w:rsidRDefault="00A0745D" w:rsidP="005927B4">
      <w:pPr>
        <w:pStyle w:val="a3"/>
        <w:numPr>
          <w:ilvl w:val="0"/>
          <w:numId w:val="2"/>
        </w:numPr>
        <w:ind w:firstLineChars="0"/>
      </w:pPr>
      <w:r>
        <w:t>Great compatibility</w:t>
      </w:r>
      <w:r w:rsidR="00361F17">
        <w:t xml:space="preserve"> to other ingredients</w:t>
      </w:r>
      <w:r>
        <w:t>, suitable in any kind of formula</w:t>
      </w:r>
    </w:p>
    <w:p w:rsidR="00BD30FF" w:rsidRDefault="00A0745D" w:rsidP="005927B4">
      <w:pPr>
        <w:pStyle w:val="a3"/>
        <w:numPr>
          <w:ilvl w:val="0"/>
          <w:numId w:val="2"/>
        </w:numPr>
        <w:ind w:firstLineChars="0"/>
      </w:pPr>
      <w:r>
        <w:t>Strong and l</w:t>
      </w:r>
      <w:r>
        <w:rPr>
          <w:rFonts w:hint="eastAsia"/>
        </w:rPr>
        <w:t xml:space="preserve">ong term </w:t>
      </w:r>
      <w:r>
        <w:t xml:space="preserve">effect for prevention </w:t>
      </w:r>
      <w:r>
        <w:rPr>
          <w:rFonts w:hint="eastAsia"/>
        </w:rPr>
        <w:t>of the aggregation of powders</w:t>
      </w:r>
    </w:p>
    <w:p w:rsidR="00BD30FF" w:rsidRPr="00F95B3F" w:rsidRDefault="00F95B3F" w:rsidP="005927B4">
      <w:pPr>
        <w:pStyle w:val="a3"/>
        <w:numPr>
          <w:ilvl w:val="0"/>
          <w:numId w:val="2"/>
        </w:numPr>
        <w:ind w:firstLineChars="0"/>
      </w:pPr>
      <w:bookmarkStart w:id="0" w:name="_GoBack"/>
      <w:bookmarkEnd w:id="0"/>
      <w:r>
        <w:t>Specially designed for the formulation of cosmetic and skin care products.</w:t>
      </w:r>
    </w:p>
    <w:p w:rsidR="00BD30FF" w:rsidRPr="00DB7060" w:rsidRDefault="00F95B3F" w:rsidP="00DB7060">
      <w:pPr>
        <w:spacing w:before="240"/>
        <w:rPr>
          <w:b/>
        </w:rPr>
      </w:pPr>
      <w:r w:rsidRPr="00DB7060">
        <w:rPr>
          <w:rFonts w:hint="eastAsia"/>
          <w:b/>
        </w:rPr>
        <w:t>A</w:t>
      </w:r>
      <w:r w:rsidRPr="00DB7060">
        <w:rPr>
          <w:b/>
        </w:rPr>
        <w:t>pplications</w:t>
      </w:r>
    </w:p>
    <w:p w:rsidR="006A47DD" w:rsidRDefault="006A47DD" w:rsidP="005927B4">
      <w:pPr>
        <w:pStyle w:val="a3"/>
        <w:numPr>
          <w:ilvl w:val="0"/>
          <w:numId w:val="2"/>
        </w:numPr>
        <w:ind w:firstLineChars="0"/>
      </w:pPr>
      <w:r>
        <w:t>Dispersing ultra-fine titanium dioxide, zinc oxide powder or inorganic pigments in oil based products</w:t>
      </w:r>
    </w:p>
    <w:p w:rsidR="00BD30FF" w:rsidRDefault="006A47DD" w:rsidP="005927B4">
      <w:pPr>
        <w:pStyle w:val="a3"/>
        <w:numPr>
          <w:ilvl w:val="0"/>
          <w:numId w:val="2"/>
        </w:numPr>
        <w:ind w:firstLineChars="0"/>
      </w:pPr>
      <w:r>
        <w:t>Can be used in lipsticks, eye masks, sun screen products and makeup bases.</w:t>
      </w:r>
    </w:p>
    <w:p w:rsidR="00361F17" w:rsidRPr="00DB7060" w:rsidRDefault="00DB7060" w:rsidP="00DB7060">
      <w:pPr>
        <w:spacing w:before="240"/>
        <w:rPr>
          <w:b/>
        </w:rPr>
      </w:pPr>
      <w:r>
        <w:rPr>
          <w:b/>
        </w:rPr>
        <w:t>Usage</w:t>
      </w:r>
    </w:p>
    <w:p w:rsidR="00BD30FF" w:rsidRDefault="005075F1" w:rsidP="005075F1">
      <w:pPr>
        <w:pStyle w:val="a3"/>
        <w:numPr>
          <w:ilvl w:val="0"/>
          <w:numId w:val="2"/>
        </w:numPr>
        <w:ind w:firstLineChars="0"/>
      </w:pPr>
      <w:r>
        <w:t>Be sure to dissolve the dispersant in the base solvent BEFORE the powder is added.</w:t>
      </w:r>
    </w:p>
    <w:p w:rsidR="008B25C6" w:rsidRDefault="005075F1" w:rsidP="00897455">
      <w:pPr>
        <w:pStyle w:val="a3"/>
        <w:numPr>
          <w:ilvl w:val="0"/>
          <w:numId w:val="2"/>
        </w:numPr>
        <w:ind w:firstLineChars="0"/>
      </w:pPr>
      <w:r>
        <w:t>The recommended dosage is 1/10 of the powder added (by weight) and 1/20 for nanoparticles.</w:t>
      </w:r>
    </w:p>
    <w:p w:rsidR="008B25C6" w:rsidRPr="00DB7060" w:rsidRDefault="008B25C6" w:rsidP="00DB7060">
      <w:pPr>
        <w:spacing w:before="240"/>
        <w:rPr>
          <w:b/>
        </w:rPr>
      </w:pPr>
      <w:r w:rsidRPr="00DB7060">
        <w:rPr>
          <w:rFonts w:hint="eastAsia"/>
          <w:b/>
        </w:rPr>
        <w:t>Storage:</w:t>
      </w:r>
    </w:p>
    <w:p w:rsidR="008B25C6" w:rsidRDefault="008B25C6" w:rsidP="008B25C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Room temperature and avoid of light and moisture.</w:t>
      </w:r>
    </w:p>
    <w:p w:rsidR="008B25C6" w:rsidRDefault="008B25C6" w:rsidP="008B25C6">
      <w:pPr>
        <w:pStyle w:val="a3"/>
        <w:numPr>
          <w:ilvl w:val="0"/>
          <w:numId w:val="2"/>
        </w:numPr>
        <w:ind w:firstLineChars="0"/>
      </w:pPr>
      <w:r>
        <w:t>Away from toxic and hazardous substances</w:t>
      </w:r>
    </w:p>
    <w:p w:rsidR="008B25C6" w:rsidRDefault="008B25C6" w:rsidP="00141B4B">
      <w:pPr>
        <w:pStyle w:val="a3"/>
        <w:numPr>
          <w:ilvl w:val="0"/>
          <w:numId w:val="2"/>
        </w:numPr>
        <w:ind w:firstLineChars="0"/>
      </w:pPr>
      <w:r>
        <w:t>Do not directly dispose to environment without government permit.</w:t>
      </w:r>
    </w:p>
    <w:p w:rsidR="008B25C6" w:rsidRPr="00DB7060" w:rsidRDefault="008B25C6" w:rsidP="00DB7060">
      <w:pPr>
        <w:spacing w:before="240"/>
        <w:rPr>
          <w:b/>
        </w:rPr>
      </w:pPr>
      <w:r w:rsidRPr="00DB7060">
        <w:rPr>
          <w:b/>
        </w:rPr>
        <w:t>Package</w:t>
      </w:r>
    </w:p>
    <w:p w:rsidR="00BD30FF" w:rsidRDefault="008B25C6" w:rsidP="008B25C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20 kg/Drum</w:t>
      </w:r>
    </w:p>
    <w:sectPr w:rsidR="00BD30FF" w:rsidSect="005E26F6">
      <w:headerReference w:type="default" r:id="rId7"/>
      <w:pgSz w:w="11906" w:h="16838"/>
      <w:pgMar w:top="1440" w:right="1800" w:bottom="1440" w:left="1800" w:header="283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32" w:rsidRDefault="00340C32" w:rsidP="002C0E22">
      <w:r>
        <w:separator/>
      </w:r>
    </w:p>
  </w:endnote>
  <w:endnote w:type="continuationSeparator" w:id="0">
    <w:p w:rsidR="00340C32" w:rsidRDefault="00340C32" w:rsidP="002C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造字工房朗倩（非商用）常规体">
    <w:panose1 w:val="00000000000000000000"/>
    <w:charset w:val="86"/>
    <w:family w:val="modern"/>
    <w:notTrueType/>
    <w:pitch w:val="variable"/>
    <w:sig w:usb0="00000003" w:usb1="080F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32" w:rsidRDefault="00340C32" w:rsidP="002C0E22">
      <w:r>
        <w:separator/>
      </w:r>
    </w:p>
  </w:footnote>
  <w:footnote w:type="continuationSeparator" w:id="0">
    <w:p w:rsidR="00340C32" w:rsidRDefault="00340C32" w:rsidP="002C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7303"/>
    </w:tblGrid>
    <w:tr w:rsidR="00D47E06" w:rsidRPr="001F54CD" w:rsidTr="006C51C9">
      <w:tc>
        <w:tcPr>
          <w:tcW w:w="993" w:type="dxa"/>
          <w:vMerge w:val="restart"/>
        </w:tcPr>
        <w:p w:rsidR="002C0E22" w:rsidRPr="001F54CD" w:rsidRDefault="00D47E06">
          <w:pPr>
            <w:pStyle w:val="a6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sz w:val="32"/>
            </w:rPr>
          </w:pPr>
          <w:r>
            <w:rPr>
              <w:rFonts w:ascii="造字工房朗倩（非商用）常规体" w:eastAsia="造字工房朗倩（非商用）常规体" w:hAnsi="造字工房朗倩（非商用）常规体"/>
              <w:noProof/>
              <w:sz w:val="32"/>
            </w:rPr>
            <w:drawing>
              <wp:inline distT="0" distB="0" distL="0" distR="0">
                <wp:extent cx="548640" cy="747522"/>
                <wp:effectExtent l="0" t="0" r="381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060" cy="769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3" w:type="dxa"/>
          <w:vAlign w:val="bottom"/>
        </w:tcPr>
        <w:p w:rsidR="002C0E22" w:rsidRPr="001F54CD" w:rsidRDefault="002C0E22">
          <w:pPr>
            <w:pStyle w:val="a6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sz w:val="32"/>
            </w:rPr>
          </w:pPr>
          <w:r w:rsidRPr="001F54CD">
            <w:rPr>
              <w:rFonts w:ascii="造字工房朗倩（非商用）常规体" w:eastAsia="造字工房朗倩（非商用）常规体" w:hAnsi="造字工房朗倩（非商用）常规体" w:hint="eastAsia"/>
              <w:sz w:val="56"/>
            </w:rPr>
            <w:t>上海迪摩化学科技有限公司</w:t>
          </w:r>
        </w:p>
      </w:tc>
    </w:tr>
    <w:tr w:rsidR="00D47E06" w:rsidRPr="001F54CD" w:rsidTr="006C51C9">
      <w:tc>
        <w:tcPr>
          <w:tcW w:w="993" w:type="dxa"/>
          <w:vMerge/>
        </w:tcPr>
        <w:p w:rsidR="002C0E22" w:rsidRPr="001F54CD" w:rsidRDefault="002C0E22">
          <w:pPr>
            <w:pStyle w:val="a6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sz w:val="32"/>
            </w:rPr>
          </w:pPr>
        </w:p>
      </w:tc>
      <w:tc>
        <w:tcPr>
          <w:tcW w:w="7303" w:type="dxa"/>
        </w:tcPr>
        <w:p w:rsidR="002C0E22" w:rsidRPr="001F54CD" w:rsidRDefault="001F54CD">
          <w:pPr>
            <w:pStyle w:val="a6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sz w:val="24"/>
            </w:rPr>
          </w:pPr>
          <w:r w:rsidRPr="001F54CD">
            <w:rPr>
              <w:rFonts w:ascii="造字工房朗倩（非商用）常规体" w:eastAsia="造字工房朗倩（非商用）常规体" w:hAnsi="造字工房朗倩（非商用）常规体" w:hint="eastAsia"/>
              <w:spacing w:val="24"/>
              <w:sz w:val="24"/>
            </w:rPr>
            <w:t>SHANGHAI DYNAMO CHEMICALS CO. LTD.</w:t>
          </w:r>
        </w:p>
      </w:tc>
    </w:tr>
  </w:tbl>
  <w:p w:rsidR="002C0E22" w:rsidRDefault="002C0E22" w:rsidP="002C0E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F2A96"/>
    <w:multiLevelType w:val="hybridMultilevel"/>
    <w:tmpl w:val="15386688"/>
    <w:lvl w:ilvl="0" w:tplc="B972EC0C">
      <w:numFmt w:val="bullet"/>
      <w:lvlText w:val="-"/>
      <w:lvlJc w:val="left"/>
      <w:pPr>
        <w:ind w:left="675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689D22F9"/>
    <w:multiLevelType w:val="hybridMultilevel"/>
    <w:tmpl w:val="976210DC"/>
    <w:lvl w:ilvl="0" w:tplc="82AA579C">
      <w:numFmt w:val="bullet"/>
      <w:lvlText w:val="-"/>
      <w:lvlJc w:val="left"/>
      <w:pPr>
        <w:ind w:left="78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04"/>
    <w:rsid w:val="001F54CD"/>
    <w:rsid w:val="0028590F"/>
    <w:rsid w:val="002C0E22"/>
    <w:rsid w:val="00340C32"/>
    <w:rsid w:val="00361F17"/>
    <w:rsid w:val="003C0B7C"/>
    <w:rsid w:val="00455D2E"/>
    <w:rsid w:val="004E0204"/>
    <w:rsid w:val="005075F1"/>
    <w:rsid w:val="005927B4"/>
    <w:rsid w:val="005E26F6"/>
    <w:rsid w:val="006A47DD"/>
    <w:rsid w:val="006C51C9"/>
    <w:rsid w:val="00711AF3"/>
    <w:rsid w:val="007E19A4"/>
    <w:rsid w:val="008B25C6"/>
    <w:rsid w:val="00A0745D"/>
    <w:rsid w:val="00A24A86"/>
    <w:rsid w:val="00BB00DE"/>
    <w:rsid w:val="00BD30FF"/>
    <w:rsid w:val="00C34DD7"/>
    <w:rsid w:val="00D47E06"/>
    <w:rsid w:val="00D85795"/>
    <w:rsid w:val="00DB7060"/>
    <w:rsid w:val="00ED07F0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8B0FB"/>
  <w15:chartTrackingRefBased/>
  <w15:docId w15:val="{8DA9E553-0346-4280-9EDA-49CA8E6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70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B70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5D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B706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B70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B70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DB70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C0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0E2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0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0E22"/>
    <w:rPr>
      <w:sz w:val="18"/>
      <w:szCs w:val="18"/>
    </w:rPr>
  </w:style>
  <w:style w:type="table" w:styleId="aa">
    <w:name w:val="Table Grid"/>
    <w:basedOn w:val="a1"/>
    <w:uiPriority w:val="39"/>
    <w:rsid w:val="002C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5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1831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299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30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23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9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5836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79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8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5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77ACDC"/>
                            <w:left w:val="single" w:sz="6" w:space="15" w:color="E0EDF7"/>
                            <w:bottom w:val="single" w:sz="6" w:space="8" w:color="E0EDF7"/>
                            <w:right w:val="single" w:sz="6" w:space="15" w:color="E0EDF7"/>
                          </w:divBdr>
                          <w:divsChild>
                            <w:div w:id="1553813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Xiaojun Ji</dc:creator>
  <cp:keywords/>
  <dc:description/>
  <cp:lastModifiedBy>Xiaojun Ji</cp:lastModifiedBy>
  <cp:revision>9</cp:revision>
  <dcterms:created xsi:type="dcterms:W3CDTF">2017-07-11T01:10:00Z</dcterms:created>
  <dcterms:modified xsi:type="dcterms:W3CDTF">2018-01-08T03:19:00Z</dcterms:modified>
</cp:coreProperties>
</file>