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35D1" w14:textId="4BD6BE52" w:rsidR="005A0995" w:rsidRPr="00DE01D8" w:rsidRDefault="005A0995">
      <w:pPr>
        <w:widowControl/>
        <w:jc w:val="center"/>
        <w:outlineLvl w:val="0"/>
        <w:rPr>
          <w:rFonts w:ascii="等线" w:eastAsia="等线" w:hAnsi="等线" w:cs="Arial"/>
          <w:b/>
          <w:bCs/>
          <w:color w:val="000000"/>
          <w:kern w:val="28"/>
          <w:sz w:val="56"/>
          <w:szCs w:val="96"/>
        </w:rPr>
      </w:pPr>
      <w:r w:rsidRPr="00DE01D8">
        <w:rPr>
          <w:rFonts w:ascii="等线" w:eastAsia="等线" w:hAnsi="等线" w:cs="Arial" w:hint="eastAsia"/>
          <w:b/>
          <w:bCs/>
          <w:color w:val="000000"/>
          <w:kern w:val="28"/>
          <w:sz w:val="56"/>
          <w:szCs w:val="96"/>
        </w:rPr>
        <w:t>D</w:t>
      </w:r>
      <w:r w:rsidRPr="00DE01D8">
        <w:rPr>
          <w:rFonts w:ascii="等线" w:eastAsia="等线" w:hAnsi="等线" w:cs="Arial"/>
          <w:b/>
          <w:bCs/>
          <w:color w:val="000000"/>
          <w:kern w:val="28"/>
          <w:sz w:val="56"/>
          <w:szCs w:val="96"/>
        </w:rPr>
        <w:t>ynamo V73E</w:t>
      </w:r>
    </w:p>
    <w:p w14:paraId="6EC93418" w14:textId="75CBB99A" w:rsidR="0040327B" w:rsidRDefault="005A0995">
      <w:pPr>
        <w:widowControl/>
        <w:jc w:val="center"/>
        <w:outlineLvl w:val="0"/>
        <w:rPr>
          <w:rFonts w:ascii="等线" w:eastAsia="等线" w:hAnsi="等线" w:cs="Arial"/>
          <w:b/>
          <w:bCs/>
          <w:color w:val="000000"/>
          <w:kern w:val="28"/>
          <w:sz w:val="44"/>
          <w:szCs w:val="52"/>
        </w:rPr>
      </w:pPr>
      <w:r>
        <w:rPr>
          <w:rFonts w:ascii="等线" w:eastAsia="等线" w:hAnsi="等线" w:cs="Arial" w:hint="eastAsia"/>
          <w:b/>
          <w:bCs/>
          <w:color w:val="000000"/>
          <w:kern w:val="28"/>
          <w:sz w:val="44"/>
          <w:szCs w:val="52"/>
        </w:rPr>
        <w:t>T</w:t>
      </w:r>
      <w:r>
        <w:rPr>
          <w:rFonts w:ascii="等线" w:eastAsia="等线" w:hAnsi="等线" w:cs="Arial"/>
          <w:b/>
          <w:bCs/>
          <w:color w:val="000000"/>
          <w:kern w:val="28"/>
          <w:sz w:val="44"/>
          <w:szCs w:val="52"/>
        </w:rPr>
        <w:t>echnical Data Sheet</w:t>
      </w:r>
    </w:p>
    <w:p w14:paraId="49BEE926" w14:textId="77777777" w:rsidR="00115DFF" w:rsidRDefault="00115DFF">
      <w:pPr>
        <w:widowControl/>
        <w:spacing w:after="18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</w:p>
    <w:p w14:paraId="090E97FF" w14:textId="3F4B606C" w:rsidR="005A0995" w:rsidRPr="00C57EDE" w:rsidRDefault="00C57EDE">
      <w:pPr>
        <w:widowControl/>
        <w:spacing w:after="18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 w:rsidRPr="00965E1B">
        <w:rPr>
          <w:rFonts w:ascii="等线" w:eastAsia="等线" w:hAnsi="等线" w:cs="Times New Roman" w:hint="eastAsia"/>
          <w:b/>
          <w:bCs/>
          <w:color w:val="000000"/>
          <w:kern w:val="28"/>
          <w:sz w:val="24"/>
          <w:szCs w:val="24"/>
        </w:rPr>
        <w:t>I</w:t>
      </w:r>
      <w:r w:rsidRPr="00965E1B">
        <w:rPr>
          <w:rFonts w:ascii="等线" w:eastAsia="等线" w:hAnsi="等线" w:cs="Times New Roman"/>
          <w:b/>
          <w:bCs/>
          <w:color w:val="000000"/>
          <w:kern w:val="28"/>
          <w:sz w:val="24"/>
          <w:szCs w:val="24"/>
        </w:rPr>
        <w:t>NCI Name</w:t>
      </w:r>
      <w:r w:rsidRPr="00C57EDE">
        <w:rPr>
          <w:rFonts w:ascii="等线" w:eastAsia="等线" w:hAnsi="等线" w:cs="Times New Roman"/>
          <w:color w:val="000000"/>
          <w:kern w:val="28"/>
          <w:sz w:val="24"/>
          <w:szCs w:val="24"/>
        </w:rPr>
        <w:t>: PEG-</w:t>
      </w:r>
      <w:r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70</w:t>
      </w:r>
      <w:r w:rsidRPr="00C57EDE">
        <w:rPr>
          <w:rFonts w:ascii="等线" w:eastAsia="等线" w:hAnsi="等线" w:cs="Times New Roman"/>
          <w:color w:val="000000"/>
          <w:kern w:val="28"/>
          <w:sz w:val="24"/>
          <w:szCs w:val="24"/>
        </w:rPr>
        <w:t>/PPG-30 TOCOPHERYL ETHER</w:t>
      </w:r>
    </w:p>
    <w:p w14:paraId="757BE2CD" w14:textId="4D5059C0" w:rsidR="00C57EDE" w:rsidRPr="00C57EDE" w:rsidRDefault="00C57EDE">
      <w:pPr>
        <w:widowControl/>
        <w:spacing w:after="18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 w:rsidRPr="00965E1B">
        <w:rPr>
          <w:rFonts w:ascii="等线" w:eastAsia="等线" w:hAnsi="等线" w:cs="Times New Roman"/>
          <w:b/>
          <w:bCs/>
          <w:color w:val="000000"/>
          <w:kern w:val="28"/>
          <w:sz w:val="24"/>
          <w:szCs w:val="24"/>
        </w:rPr>
        <w:t xml:space="preserve">INCI </w:t>
      </w:r>
      <w:r w:rsidRPr="00965E1B">
        <w:rPr>
          <w:rFonts w:ascii="等线" w:eastAsia="等线" w:hAnsi="等线" w:cs="Times New Roman" w:hint="eastAsia"/>
          <w:b/>
          <w:bCs/>
          <w:color w:val="000000"/>
          <w:kern w:val="28"/>
          <w:sz w:val="24"/>
          <w:szCs w:val="24"/>
        </w:rPr>
        <w:t>中文名称</w:t>
      </w:r>
      <w:r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：</w:t>
      </w:r>
      <w:r w:rsidRPr="00C57EDE">
        <w:rPr>
          <w:rFonts w:ascii="等线" w:eastAsia="等线" w:hAnsi="等线" w:cs="Times New Roman"/>
          <w:color w:val="000000"/>
          <w:kern w:val="28"/>
          <w:sz w:val="24"/>
          <w:szCs w:val="24"/>
        </w:rPr>
        <w:t>PEG-</w:t>
      </w:r>
      <w:r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70</w:t>
      </w:r>
      <w:r w:rsidRPr="00C57EDE">
        <w:rPr>
          <w:rFonts w:ascii="等线" w:eastAsia="等线" w:hAnsi="等线" w:cs="Times New Roman"/>
          <w:color w:val="000000"/>
          <w:kern w:val="28"/>
          <w:sz w:val="24"/>
          <w:szCs w:val="24"/>
        </w:rPr>
        <w:t>/PPG-30</w:t>
      </w:r>
      <w:r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生育</w:t>
      </w:r>
      <w:proofErr w:type="gramStart"/>
      <w:r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酚</w:t>
      </w:r>
      <w:proofErr w:type="gramEnd"/>
      <w:r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醚</w:t>
      </w:r>
    </w:p>
    <w:p w14:paraId="2FB4E4E3" w14:textId="067D9942" w:rsidR="00C57EDE" w:rsidRDefault="00C57EDE">
      <w:pPr>
        <w:widowControl/>
        <w:spacing w:after="18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 w:rsidRPr="00965E1B">
        <w:rPr>
          <w:rFonts w:ascii="等线" w:eastAsia="等线" w:hAnsi="等线" w:cs="Times New Roman" w:hint="eastAsia"/>
          <w:b/>
          <w:bCs/>
          <w:color w:val="000000"/>
          <w:kern w:val="28"/>
          <w:sz w:val="24"/>
          <w:szCs w:val="24"/>
        </w:rPr>
        <w:t>用途</w:t>
      </w:r>
      <w:r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：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多用途乳化剂，主要用途包括：水包</w:t>
      </w:r>
      <w:r w:rsidR="00FD7A1B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油超微乳化剂，粉体分散剂</w:t>
      </w:r>
      <w:r w:rsidR="00F17A48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，</w:t>
      </w:r>
      <w:r w:rsidR="00BE35B0" w:rsidRPr="00BE35B0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抗结块剂、抗氧化剂、结合剂、乳化安定剂、肌肤调理剂、紫外线吸收剂</w:t>
      </w:r>
      <w:r w:rsidR="00BE35B0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。</w:t>
      </w:r>
    </w:p>
    <w:p w14:paraId="312155ED" w14:textId="77777777" w:rsidR="00312385" w:rsidRDefault="00FD7A1B">
      <w:pPr>
        <w:widowControl/>
        <w:spacing w:after="18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 w:rsidRPr="00965E1B">
        <w:rPr>
          <w:rFonts w:ascii="等线" w:eastAsia="等线" w:hAnsi="等线" w:cs="Times New Roman" w:hint="eastAsia"/>
          <w:b/>
          <w:bCs/>
          <w:color w:val="000000"/>
          <w:kern w:val="28"/>
          <w:sz w:val="24"/>
          <w:szCs w:val="24"/>
        </w:rPr>
        <w:t>产品特点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：</w:t>
      </w:r>
    </w:p>
    <w:p w14:paraId="4149E66C" w14:textId="031CDAE4" w:rsidR="00312385" w:rsidRDefault="00F17A48" w:rsidP="00312385">
      <w:pPr>
        <w:widowControl/>
        <w:spacing w:after="180"/>
        <w:ind w:firstLine="42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使用</w:t>
      </w:r>
      <w:r w:rsidR="00FD7A1B" w:rsidRPr="00C57EDE">
        <w:rPr>
          <w:rFonts w:ascii="等线" w:eastAsia="等线" w:hAnsi="等线" w:cs="Times New Roman"/>
          <w:color w:val="000000"/>
          <w:kern w:val="28"/>
          <w:sz w:val="24"/>
          <w:szCs w:val="24"/>
        </w:rPr>
        <w:t>PEG-</w:t>
      </w:r>
      <w:r w:rsidR="00FD7A1B"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70</w:t>
      </w:r>
      <w:r w:rsidR="00FD7A1B" w:rsidRPr="00C57EDE">
        <w:rPr>
          <w:rFonts w:ascii="等线" w:eastAsia="等线" w:hAnsi="等线" w:cs="Times New Roman"/>
          <w:color w:val="000000"/>
          <w:kern w:val="28"/>
          <w:sz w:val="24"/>
          <w:szCs w:val="24"/>
        </w:rPr>
        <w:t>/PPG-30</w:t>
      </w:r>
      <w:r w:rsidR="00FD7A1B"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生育</w:t>
      </w:r>
      <w:proofErr w:type="gramStart"/>
      <w:r w:rsidR="00FD7A1B"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酚醚</w:t>
      </w:r>
      <w:r w:rsidR="00FD7A1B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作为</w:t>
      </w:r>
      <w:proofErr w:type="gramEnd"/>
      <w:r w:rsidR="00FD7A1B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水包油体系的超微乳化剂，可以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在普通生产条件下</w:t>
      </w:r>
      <w:r w:rsidR="00FD7A1B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形成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稳定的</w:t>
      </w:r>
      <w:r w:rsidR="00FD7A1B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纳米级的乳化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液滴，大大的改善油溶性活性物的吸收，同时使得肤感更轻盈</w:t>
      </w:r>
      <w:r w:rsidR="004E03C6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，同时成品的透明度也会好一些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。</w:t>
      </w:r>
      <w:r w:rsidR="0075238A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配方中使用V</w:t>
      </w:r>
      <w:r w:rsidR="0075238A">
        <w:rPr>
          <w:rFonts w:ascii="等线" w:eastAsia="等线" w:hAnsi="等线" w:cs="Times New Roman"/>
          <w:color w:val="000000"/>
          <w:kern w:val="28"/>
          <w:sz w:val="24"/>
          <w:szCs w:val="24"/>
        </w:rPr>
        <w:t>73E</w:t>
      </w:r>
      <w:r w:rsidR="0075238A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，生产出</w:t>
      </w:r>
      <w:proofErr w:type="gramStart"/>
      <w:r w:rsidR="0075238A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的料体外观</w:t>
      </w:r>
      <w:proofErr w:type="gramEnd"/>
      <w:r w:rsidR="0075238A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上非常的柔顺丝滑，同时肤感又非常轻盈。</w:t>
      </w:r>
    </w:p>
    <w:p w14:paraId="41705926" w14:textId="77777777" w:rsidR="0075238A" w:rsidRDefault="00312385" w:rsidP="00312385">
      <w:pPr>
        <w:widowControl/>
        <w:spacing w:after="180"/>
        <w:ind w:firstLine="42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 w:rsidRPr="00C57EDE">
        <w:rPr>
          <w:rFonts w:ascii="等线" w:eastAsia="等线" w:hAnsi="等线" w:cs="Times New Roman"/>
          <w:color w:val="000000"/>
          <w:kern w:val="28"/>
          <w:sz w:val="24"/>
          <w:szCs w:val="24"/>
        </w:rPr>
        <w:t>PEG-</w:t>
      </w:r>
      <w:r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70</w:t>
      </w:r>
      <w:r w:rsidRPr="00C57EDE">
        <w:rPr>
          <w:rFonts w:ascii="等线" w:eastAsia="等线" w:hAnsi="等线" w:cs="Times New Roman"/>
          <w:color w:val="000000"/>
          <w:kern w:val="28"/>
          <w:sz w:val="24"/>
          <w:szCs w:val="24"/>
        </w:rPr>
        <w:t>/PPG-30</w:t>
      </w:r>
      <w:r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生育</w:t>
      </w:r>
      <w:proofErr w:type="gramStart"/>
      <w:r w:rsidRPr="00C57EDE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酚醚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的</w:t>
      </w:r>
      <w:proofErr w:type="gramEnd"/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特殊结构，还可以作为油相的粉体分散剂。</w:t>
      </w:r>
      <w:r w:rsidR="00F17A48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用在防晒配方中作为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防晒粉的</w:t>
      </w:r>
      <w:r w:rsidR="00F17A48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分散剂，在抗聚集的同时，可以有效降低粘度，</w:t>
      </w:r>
      <w:r w:rsidR="0075238A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即使</w:t>
      </w:r>
      <w:r w:rsidR="00F17A48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在高SPF值配方中（SPF50+）也能获得非常轻质的肤感。</w:t>
      </w:r>
    </w:p>
    <w:p w14:paraId="1EB8348F" w14:textId="1E3BCE20" w:rsidR="00FD7A1B" w:rsidRDefault="00F17A48" w:rsidP="00312385">
      <w:pPr>
        <w:widowControl/>
        <w:spacing w:after="180"/>
        <w:ind w:firstLine="42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另外，产品本身是维生素E的水溶性衍生物，</w:t>
      </w:r>
      <w:r w:rsidR="0075238A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不但具有维生素E本身的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抗氧化</w:t>
      </w:r>
      <w:r w:rsidR="006A52DC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和滋养调理肌肤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的功效</w:t>
      </w:r>
      <w:r w:rsidR="0075238A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，而且因为是水溶性，更有利于皮肤吸收和应用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。</w:t>
      </w:r>
    </w:p>
    <w:p w14:paraId="1AF0D4E4" w14:textId="77777777" w:rsidR="00965E1B" w:rsidRDefault="00965E1B" w:rsidP="00965E1B">
      <w:pPr>
        <w:widowControl/>
        <w:spacing w:after="180"/>
        <w:jc w:val="left"/>
        <w:rPr>
          <w:rFonts w:ascii="等线" w:eastAsia="等线" w:hAnsi="等线" w:cs="Times New Roman"/>
          <w:b/>
          <w:bCs/>
          <w:color w:val="000000"/>
          <w:kern w:val="28"/>
          <w:sz w:val="24"/>
          <w:szCs w:val="24"/>
        </w:rPr>
      </w:pPr>
    </w:p>
    <w:p w14:paraId="775F7085" w14:textId="6A069E39" w:rsidR="00965E1B" w:rsidRDefault="00965E1B" w:rsidP="00965E1B">
      <w:pPr>
        <w:widowControl/>
        <w:spacing w:after="18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 w:rsidRPr="00965E1B">
        <w:rPr>
          <w:rFonts w:ascii="等线" w:eastAsia="等线" w:hAnsi="等线" w:cs="Times New Roman" w:hint="eastAsia"/>
          <w:b/>
          <w:bCs/>
          <w:color w:val="000000"/>
          <w:kern w:val="28"/>
          <w:sz w:val="24"/>
          <w:szCs w:val="24"/>
        </w:rPr>
        <w:lastRenderedPageBreak/>
        <w:t>使用方法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：</w:t>
      </w:r>
    </w:p>
    <w:p w14:paraId="7C44201A" w14:textId="3F7AD293" w:rsidR="00965E1B" w:rsidRDefault="00965E1B" w:rsidP="00965E1B">
      <w:pPr>
        <w:widowControl/>
        <w:spacing w:after="180"/>
        <w:jc w:val="left"/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</w:pPr>
      <w:r>
        <w:rPr>
          <w:rFonts w:ascii="等线" w:eastAsia="等线" w:hAnsi="等线" w:cs="Times New Roman"/>
          <w:color w:val="000000"/>
          <w:kern w:val="28"/>
          <w:sz w:val="24"/>
          <w:szCs w:val="24"/>
        </w:rPr>
        <w:tab/>
      </w:r>
      <w:r w:rsidR="004E03C6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作为表面活性剂Dy</w:t>
      </w:r>
      <w:r w:rsidR="004E03C6">
        <w:rPr>
          <w:rFonts w:ascii="等线" w:eastAsia="等线" w:hAnsi="等线" w:cs="Times New Roman"/>
          <w:color w:val="000000"/>
          <w:kern w:val="28"/>
          <w:sz w:val="24"/>
          <w:szCs w:val="24"/>
        </w:rPr>
        <w:t>namo V73E</w:t>
      </w:r>
      <w:r w:rsidR="004E03C6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适用于各种水包油体系，</w:t>
      </w:r>
      <w:r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配方中的推荐添加量是0.5%~5%。</w:t>
      </w:r>
      <w:r w:rsidR="004E03C6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如作为油性体系中的粉体分散剂，推荐添加量是粉量的10%左右。</w:t>
      </w:r>
    </w:p>
    <w:p w14:paraId="0A006050" w14:textId="77777777" w:rsidR="00965E1B" w:rsidRPr="00965E1B" w:rsidRDefault="00965E1B" w:rsidP="00965E1B">
      <w:pPr>
        <w:widowControl/>
        <w:spacing w:after="18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 w:rsidRPr="00965E1B">
        <w:rPr>
          <w:rFonts w:ascii="等线" w:eastAsia="等线" w:hAnsi="等线" w:cs="Times New Roman" w:hint="eastAsia"/>
          <w:b/>
          <w:bCs/>
          <w:color w:val="000000"/>
          <w:kern w:val="28"/>
          <w:sz w:val="24"/>
          <w:szCs w:val="24"/>
        </w:rPr>
        <w:t>产品储存</w:t>
      </w:r>
      <w:r w:rsidRPr="00965E1B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：</w:t>
      </w:r>
      <w:r w:rsidRPr="00965E1B">
        <w:rPr>
          <w:rFonts w:ascii="等线" w:eastAsia="等线" w:hAnsi="等线" w:cs="Times New Roman"/>
          <w:color w:val="000000"/>
          <w:kern w:val="28"/>
          <w:sz w:val="24"/>
          <w:szCs w:val="24"/>
        </w:rPr>
        <w:t xml:space="preserve"> </w:t>
      </w:r>
    </w:p>
    <w:p w14:paraId="60F15272" w14:textId="2423E826" w:rsidR="00965E1B" w:rsidRPr="00965E1B" w:rsidRDefault="00965E1B" w:rsidP="00965E1B">
      <w:pPr>
        <w:widowControl/>
        <w:spacing w:after="18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 w:rsidRPr="00965E1B">
        <w:rPr>
          <w:rFonts w:ascii="等线" w:eastAsia="等线" w:hAnsi="等线" w:cs="Times New Roman"/>
          <w:color w:val="000000"/>
          <w:kern w:val="28"/>
          <w:sz w:val="24"/>
          <w:szCs w:val="24"/>
        </w:rPr>
        <w:t xml:space="preserve">    密封贮运在低温干燥阴凉通风处。禁与易燃易爆，有毒有害的物质</w:t>
      </w:r>
      <w:proofErr w:type="gramStart"/>
      <w:r w:rsidRPr="00965E1B">
        <w:rPr>
          <w:rFonts w:ascii="等线" w:eastAsia="等线" w:hAnsi="等线" w:cs="Times New Roman"/>
          <w:color w:val="000000"/>
          <w:kern w:val="28"/>
          <w:sz w:val="24"/>
          <w:szCs w:val="24"/>
        </w:rPr>
        <w:t>混贮混运</w:t>
      </w:r>
      <w:proofErr w:type="gramEnd"/>
      <w:r w:rsidRPr="00965E1B">
        <w:rPr>
          <w:rFonts w:ascii="等线" w:eastAsia="等线" w:hAnsi="等线" w:cs="Times New Roman"/>
          <w:color w:val="000000"/>
          <w:kern w:val="28"/>
          <w:sz w:val="24"/>
          <w:szCs w:val="24"/>
        </w:rPr>
        <w:t xml:space="preserve">。若无政府许可，勿将材料排入周围环境。   </w:t>
      </w:r>
    </w:p>
    <w:p w14:paraId="24F4D068" w14:textId="77777777" w:rsidR="00965E1B" w:rsidRPr="00965E1B" w:rsidRDefault="00965E1B" w:rsidP="00965E1B">
      <w:pPr>
        <w:widowControl/>
        <w:spacing w:after="18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 w:rsidRPr="00965E1B">
        <w:rPr>
          <w:rFonts w:ascii="等线" w:eastAsia="等线" w:hAnsi="等线" w:cs="Times New Roman" w:hint="eastAsia"/>
          <w:b/>
          <w:bCs/>
          <w:color w:val="000000"/>
          <w:kern w:val="28"/>
          <w:sz w:val="24"/>
          <w:szCs w:val="24"/>
        </w:rPr>
        <w:t>包装规格</w:t>
      </w:r>
      <w:r w:rsidRPr="00965E1B">
        <w:rPr>
          <w:rFonts w:ascii="等线" w:eastAsia="等线" w:hAnsi="等线" w:cs="Times New Roman" w:hint="eastAsia"/>
          <w:color w:val="000000"/>
          <w:kern w:val="28"/>
          <w:sz w:val="24"/>
          <w:szCs w:val="24"/>
        </w:rPr>
        <w:t>：</w:t>
      </w:r>
      <w:r w:rsidRPr="00965E1B">
        <w:rPr>
          <w:rFonts w:ascii="等线" w:eastAsia="等线" w:hAnsi="等线" w:cs="Times New Roman"/>
          <w:color w:val="000000"/>
          <w:kern w:val="28"/>
          <w:sz w:val="24"/>
          <w:szCs w:val="24"/>
        </w:rPr>
        <w:t xml:space="preserve"> </w:t>
      </w:r>
    </w:p>
    <w:p w14:paraId="5BB449D4" w14:textId="5EEBFC52" w:rsidR="00965E1B" w:rsidRPr="00965E1B" w:rsidRDefault="00965E1B" w:rsidP="00965E1B">
      <w:pPr>
        <w:widowControl/>
        <w:spacing w:after="180"/>
        <w:jc w:val="left"/>
        <w:rPr>
          <w:rFonts w:ascii="等线" w:eastAsia="等线" w:hAnsi="等线" w:cs="Times New Roman"/>
          <w:color w:val="000000"/>
          <w:kern w:val="28"/>
          <w:sz w:val="24"/>
          <w:szCs w:val="24"/>
        </w:rPr>
      </w:pPr>
      <w:r w:rsidRPr="00965E1B">
        <w:rPr>
          <w:rFonts w:ascii="等线" w:eastAsia="等线" w:hAnsi="等线" w:cs="Times New Roman"/>
          <w:color w:val="000000"/>
          <w:kern w:val="28"/>
          <w:sz w:val="24"/>
          <w:szCs w:val="24"/>
        </w:rPr>
        <w:t xml:space="preserve">   20Kg/桶</w:t>
      </w:r>
    </w:p>
    <w:sectPr w:rsidR="00965E1B" w:rsidRPr="00965E1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BF86A" w14:textId="77777777" w:rsidR="007C4C7D" w:rsidRDefault="007C4C7D">
      <w:r>
        <w:separator/>
      </w:r>
    </w:p>
  </w:endnote>
  <w:endnote w:type="continuationSeparator" w:id="0">
    <w:p w14:paraId="7AEAC161" w14:textId="77777777" w:rsidR="007C4C7D" w:rsidRDefault="007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造字工房朗倩（非商用）常规体">
    <w:altName w:val="宋体"/>
    <w:panose1 w:val="00000000000000000000"/>
    <w:charset w:val="86"/>
    <w:family w:val="modern"/>
    <w:notTrueType/>
    <w:pitch w:val="variable"/>
    <w:sig w:usb0="00000003" w:usb1="080F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52DD" w14:textId="77777777" w:rsidR="007C4C7D" w:rsidRDefault="007C4C7D">
      <w:r>
        <w:separator/>
      </w:r>
    </w:p>
  </w:footnote>
  <w:footnote w:type="continuationSeparator" w:id="0">
    <w:p w14:paraId="26818A4F" w14:textId="77777777" w:rsidR="007C4C7D" w:rsidRDefault="007C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7300"/>
    </w:tblGrid>
    <w:tr w:rsidR="0040327B" w14:paraId="002F7A03" w14:textId="77777777">
      <w:trPr>
        <w:trHeight w:val="851"/>
      </w:trPr>
      <w:tc>
        <w:tcPr>
          <w:tcW w:w="996" w:type="dxa"/>
          <w:vMerge w:val="restart"/>
          <w:vAlign w:val="center"/>
        </w:tcPr>
        <w:p w14:paraId="4809B180" w14:textId="77777777" w:rsidR="0040327B" w:rsidRDefault="009D3734">
          <w:pPr>
            <w:pStyle w:val="a7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color w:val="7B7B7B"/>
              <w:sz w:val="52"/>
            </w:rPr>
          </w:pPr>
          <w:r>
            <w:rPr>
              <w:rFonts w:ascii="造字工房朗倩（非商用）常规体" w:eastAsia="造字工房朗倩（非商用）常规体" w:hAnsi="造字工房朗倩（非商用）常规体"/>
              <w:noProof/>
              <w:color w:val="7B7B7B"/>
              <w:sz w:val="52"/>
            </w:rPr>
            <w:drawing>
              <wp:inline distT="0" distB="0" distL="0" distR="0" wp14:anchorId="6ED07B8F" wp14:editId="4F20FE5B">
                <wp:extent cx="495300" cy="675640"/>
                <wp:effectExtent l="0" t="0" r="0" b="0"/>
                <wp:docPr id="2" name="图片 2" descr="D:\百度云\DM\技术资料\UltraPerse W180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D:\百度云\DM\技术资料\UltraPerse W180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444" cy="685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0" w:type="dxa"/>
        </w:tcPr>
        <w:p w14:paraId="36EB6932" w14:textId="77777777" w:rsidR="0040327B" w:rsidRDefault="009D3734">
          <w:pPr>
            <w:pStyle w:val="a7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color w:val="7B7B7B"/>
              <w:sz w:val="52"/>
            </w:rPr>
          </w:pPr>
          <w:r>
            <w:rPr>
              <w:rFonts w:ascii="造字工房朗倩（非商用）常规体" w:eastAsia="造字工房朗倩（非商用）常规体" w:hAnsi="造字工房朗倩（非商用）常规体" w:hint="eastAsia"/>
              <w:color w:val="7B7B7B"/>
              <w:sz w:val="52"/>
            </w:rPr>
            <w:t>上海迪摩化学科技有限公司</w:t>
          </w:r>
        </w:p>
      </w:tc>
    </w:tr>
    <w:tr w:rsidR="0040327B" w14:paraId="00A9FAE6" w14:textId="77777777">
      <w:trPr>
        <w:trHeight w:val="356"/>
      </w:trPr>
      <w:tc>
        <w:tcPr>
          <w:tcW w:w="996" w:type="dxa"/>
          <w:vMerge/>
        </w:tcPr>
        <w:p w14:paraId="38686635" w14:textId="77777777" w:rsidR="0040327B" w:rsidRDefault="0040327B">
          <w:pPr>
            <w:pStyle w:val="a7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color w:val="7B7B7B"/>
              <w:sz w:val="52"/>
            </w:rPr>
          </w:pPr>
        </w:p>
      </w:tc>
      <w:tc>
        <w:tcPr>
          <w:tcW w:w="7300" w:type="dxa"/>
        </w:tcPr>
        <w:p w14:paraId="1825E409" w14:textId="77777777" w:rsidR="0040327B" w:rsidRDefault="009D3734">
          <w:pPr>
            <w:pStyle w:val="a7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color w:val="7B7B7B"/>
              <w:sz w:val="52"/>
            </w:rPr>
          </w:pPr>
          <w:r>
            <w:rPr>
              <w:rFonts w:ascii="造字工房朗倩（非商用）常规体" w:eastAsia="造字工房朗倩（非商用）常规体" w:hAnsi="造字工房朗倩（非商用）常规体" w:hint="eastAsia"/>
              <w:color w:val="7B7B7B"/>
              <w:spacing w:val="20"/>
              <w:kern w:val="22"/>
              <w:sz w:val="22"/>
            </w:rPr>
            <w:t>SHANGHAI DYNAMO</w:t>
          </w:r>
          <w:r>
            <w:rPr>
              <w:rFonts w:ascii="造字工房朗倩（非商用）常规体" w:eastAsia="造字工房朗倩（非商用）常规体" w:hAnsi="造字工房朗倩（非商用）常规体"/>
              <w:color w:val="7B7B7B"/>
              <w:spacing w:val="20"/>
              <w:kern w:val="22"/>
              <w:sz w:val="22"/>
            </w:rPr>
            <w:t xml:space="preserve"> </w:t>
          </w:r>
          <w:r>
            <w:rPr>
              <w:rFonts w:ascii="造字工房朗倩（非商用）常规体" w:eastAsia="造字工房朗倩（非商用）常规体" w:hAnsi="造字工房朗倩（非商用）常规体" w:hint="eastAsia"/>
              <w:color w:val="7B7B7B"/>
              <w:spacing w:val="20"/>
              <w:kern w:val="22"/>
              <w:sz w:val="22"/>
            </w:rPr>
            <w:t>CHEMICALS</w:t>
          </w:r>
          <w:r>
            <w:rPr>
              <w:rFonts w:ascii="造字工房朗倩（非商用）常规体" w:eastAsia="造字工房朗倩（非商用）常规体" w:hAnsi="造字工房朗倩（非商用）常规体"/>
              <w:color w:val="7B7B7B"/>
              <w:spacing w:val="20"/>
              <w:kern w:val="22"/>
              <w:sz w:val="22"/>
            </w:rPr>
            <w:t xml:space="preserve"> </w:t>
          </w:r>
          <w:r>
            <w:rPr>
              <w:rFonts w:ascii="造字工房朗倩（非商用）常规体" w:eastAsia="造字工房朗倩（非商用）常规体" w:hAnsi="造字工房朗倩（非商用）常规体" w:hint="eastAsia"/>
              <w:color w:val="7B7B7B"/>
              <w:spacing w:val="20"/>
              <w:kern w:val="22"/>
              <w:sz w:val="22"/>
            </w:rPr>
            <w:t>CO.</w:t>
          </w:r>
          <w:r>
            <w:rPr>
              <w:rFonts w:ascii="造字工房朗倩（非商用）常规体" w:eastAsia="造字工房朗倩（非商用）常规体" w:hAnsi="造字工房朗倩（非商用）常规体"/>
              <w:color w:val="7B7B7B"/>
              <w:spacing w:val="20"/>
              <w:kern w:val="22"/>
              <w:sz w:val="22"/>
            </w:rPr>
            <w:t xml:space="preserve"> </w:t>
          </w:r>
          <w:r>
            <w:rPr>
              <w:rFonts w:ascii="造字工房朗倩（非商用）常规体" w:eastAsia="造字工房朗倩（非商用）常规体" w:hAnsi="造字工房朗倩（非商用）常规体" w:hint="eastAsia"/>
              <w:color w:val="7B7B7B"/>
              <w:spacing w:val="20"/>
              <w:kern w:val="22"/>
              <w:sz w:val="22"/>
            </w:rPr>
            <w:t>LTD</w:t>
          </w:r>
          <w:r>
            <w:rPr>
              <w:rFonts w:ascii="造字工房朗倩（非商用）常规体" w:eastAsia="造字工房朗倩（非商用）常规体" w:hAnsi="造字工房朗倩（非商用）常规体"/>
              <w:color w:val="7B7B7B"/>
              <w:spacing w:val="20"/>
              <w:kern w:val="22"/>
              <w:sz w:val="22"/>
            </w:rPr>
            <w:t>.</w:t>
          </w:r>
        </w:p>
      </w:tc>
    </w:tr>
  </w:tbl>
  <w:p w14:paraId="140B03ED" w14:textId="77777777" w:rsidR="0040327B" w:rsidRDefault="0040327B">
    <w:pPr>
      <w:pStyle w:val="a7"/>
      <w:pBdr>
        <w:bottom w:val="none" w:sz="0" w:space="1" w:color="auto"/>
      </w:pBdr>
      <w:jc w:val="both"/>
      <w:rPr>
        <w:rFonts w:ascii="等线 Light" w:eastAsia="等线 Light" w:hAnsi="等线 Light"/>
        <w:spacing w:val="20"/>
        <w:kern w:val="22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5"/>
    <w:rsid w:val="00115DFF"/>
    <w:rsid w:val="001655EA"/>
    <w:rsid w:val="002106AF"/>
    <w:rsid w:val="00222D01"/>
    <w:rsid w:val="00243BE4"/>
    <w:rsid w:val="002D4BB0"/>
    <w:rsid w:val="00312385"/>
    <w:rsid w:val="00343161"/>
    <w:rsid w:val="003922F2"/>
    <w:rsid w:val="003A33C8"/>
    <w:rsid w:val="003D1D47"/>
    <w:rsid w:val="003D40D0"/>
    <w:rsid w:val="0040327B"/>
    <w:rsid w:val="00463B2B"/>
    <w:rsid w:val="004B7B84"/>
    <w:rsid w:val="004E03C6"/>
    <w:rsid w:val="0051637E"/>
    <w:rsid w:val="00593248"/>
    <w:rsid w:val="005A0995"/>
    <w:rsid w:val="005A1C25"/>
    <w:rsid w:val="00673A8A"/>
    <w:rsid w:val="00675288"/>
    <w:rsid w:val="00694AE0"/>
    <w:rsid w:val="006A52DC"/>
    <w:rsid w:val="00741359"/>
    <w:rsid w:val="0075238A"/>
    <w:rsid w:val="00762D7A"/>
    <w:rsid w:val="00794E0B"/>
    <w:rsid w:val="007C4C7D"/>
    <w:rsid w:val="007F3EB7"/>
    <w:rsid w:val="008150E9"/>
    <w:rsid w:val="008656A6"/>
    <w:rsid w:val="008C32BD"/>
    <w:rsid w:val="009332CA"/>
    <w:rsid w:val="00965E1B"/>
    <w:rsid w:val="009825AB"/>
    <w:rsid w:val="009D3734"/>
    <w:rsid w:val="00A4743C"/>
    <w:rsid w:val="00A82C4F"/>
    <w:rsid w:val="00B75B60"/>
    <w:rsid w:val="00BA1EF5"/>
    <w:rsid w:val="00BA4292"/>
    <w:rsid w:val="00BE0422"/>
    <w:rsid w:val="00BE35B0"/>
    <w:rsid w:val="00C467CD"/>
    <w:rsid w:val="00C57EDE"/>
    <w:rsid w:val="00C7548A"/>
    <w:rsid w:val="00CA3611"/>
    <w:rsid w:val="00CD263E"/>
    <w:rsid w:val="00CD2A61"/>
    <w:rsid w:val="00CD6383"/>
    <w:rsid w:val="00CE6B93"/>
    <w:rsid w:val="00D24E9E"/>
    <w:rsid w:val="00D26F1E"/>
    <w:rsid w:val="00DE01D8"/>
    <w:rsid w:val="00E34593"/>
    <w:rsid w:val="00E51ED2"/>
    <w:rsid w:val="00E546E9"/>
    <w:rsid w:val="00E57A80"/>
    <w:rsid w:val="00E848D5"/>
    <w:rsid w:val="00E87C74"/>
    <w:rsid w:val="00E91477"/>
    <w:rsid w:val="00EB4026"/>
    <w:rsid w:val="00EC66CC"/>
    <w:rsid w:val="00F1160B"/>
    <w:rsid w:val="00F151CB"/>
    <w:rsid w:val="00F17A48"/>
    <w:rsid w:val="00F22104"/>
    <w:rsid w:val="00F94ACE"/>
    <w:rsid w:val="00FA749D"/>
    <w:rsid w:val="00FD7A1B"/>
    <w:rsid w:val="072250AB"/>
    <w:rsid w:val="09842A77"/>
    <w:rsid w:val="0D73705C"/>
    <w:rsid w:val="0D7530B3"/>
    <w:rsid w:val="15227552"/>
    <w:rsid w:val="1A505A0B"/>
    <w:rsid w:val="1F5B2ABF"/>
    <w:rsid w:val="20022F21"/>
    <w:rsid w:val="203577C2"/>
    <w:rsid w:val="20BF2FDE"/>
    <w:rsid w:val="27144297"/>
    <w:rsid w:val="272A7ABB"/>
    <w:rsid w:val="3938625D"/>
    <w:rsid w:val="3AAA5C3D"/>
    <w:rsid w:val="3F057200"/>
    <w:rsid w:val="3F2A5CF0"/>
    <w:rsid w:val="3F5A4202"/>
    <w:rsid w:val="3FA260D6"/>
    <w:rsid w:val="4A182EC0"/>
    <w:rsid w:val="4A665D66"/>
    <w:rsid w:val="4F1A495D"/>
    <w:rsid w:val="4F22402E"/>
    <w:rsid w:val="4F471194"/>
    <w:rsid w:val="51BB1EBF"/>
    <w:rsid w:val="54BA69B9"/>
    <w:rsid w:val="54EB0849"/>
    <w:rsid w:val="57653B81"/>
    <w:rsid w:val="645B5DCB"/>
    <w:rsid w:val="670127D3"/>
    <w:rsid w:val="67D34FCB"/>
    <w:rsid w:val="68792FB0"/>
    <w:rsid w:val="6D2F5657"/>
    <w:rsid w:val="6D5558FB"/>
    <w:rsid w:val="7073759E"/>
    <w:rsid w:val="71B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73A6E"/>
  <w15:docId w15:val="{184AF3F0-F951-434D-BBCA-9A8A0470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c">
    <w:name w:val="标题 字符"/>
    <w:basedOn w:val="a0"/>
    <w:link w:val="ab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副标题 字符"/>
    <w:basedOn w:val="a0"/>
    <w:link w:val="a9"/>
    <w:uiPriority w:val="11"/>
    <w:qFormat/>
    <w:rPr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f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Xiaojun Ji</dc:creator>
  <cp:lastModifiedBy>Xiaojun Ji</cp:lastModifiedBy>
  <cp:revision>12</cp:revision>
  <cp:lastPrinted>2018-04-16T01:58:00Z</cp:lastPrinted>
  <dcterms:created xsi:type="dcterms:W3CDTF">2021-03-08T08:33:00Z</dcterms:created>
  <dcterms:modified xsi:type="dcterms:W3CDTF">2021-04-02T03:19:00Z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