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6224E"/>
    <w:p w14:paraId="77442A77"/>
    <w:p w14:paraId="6C72EBBB">
      <w:r>
        <w:t>技术说明书 Technical Data Sheet</w:t>
      </w:r>
    </w:p>
    <w:p w14:paraId="28B9AC94">
      <w:r>
        <w:drawing>
          <wp:inline distT="0" distB="0" distL="0" distR="0">
            <wp:extent cx="5692775" cy="292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1B2E"/>
    <w:p w14:paraId="6D98AF70"/>
    <w:p w14:paraId="1923D191">
      <w:pPr>
        <w:rPr>
          <w:rFonts w:hint="default"/>
          <w:lang w:val="en-US" w:eastAsia="zh-CN"/>
        </w:rPr>
      </w:pPr>
      <w:r>
        <w:t xml:space="preserve">标准中文名称: </w:t>
      </w:r>
      <w:r>
        <w:rPr>
          <w:rFonts w:hint="eastAsia"/>
          <w:lang w:val="en-US" w:eastAsia="zh-CN"/>
        </w:rPr>
        <w:t xml:space="preserve">  脐带间充质干细胞外泌体（冻干粉）</w:t>
      </w:r>
    </w:p>
    <w:p w14:paraId="6D8D86A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t>INCI 名称（英文）：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</w:p>
    <w:p w14:paraId="408E46DF">
      <w:pPr>
        <w:rPr>
          <w:rFonts w:hint="default" w:eastAsia="宋体"/>
          <w:lang w:val="en-US" w:eastAsia="zh-CN"/>
        </w:rPr>
      </w:pPr>
      <w:r>
        <w:t xml:space="preserve">别名 : </w:t>
      </w:r>
      <w:r>
        <w:rPr>
          <w:rFonts w:hint="eastAsia" w:eastAsia="宋体"/>
          <w:lang w:val="en-US" w:eastAsia="zh-CN"/>
        </w:rPr>
        <w:t>干细胞外囊泡</w:t>
      </w:r>
    </w:p>
    <w:p w14:paraId="71B6FD24">
      <w:r>
        <w:t xml:space="preserve">CAS : </w:t>
      </w:r>
      <w:r>
        <w:rPr>
          <w:rFonts w:hint="eastAsia"/>
          <w:lang w:val="en-US" w:eastAsia="zh-CN"/>
        </w:rPr>
        <w:t>-</w:t>
      </w:r>
    </w:p>
    <w:p w14:paraId="10E11416">
      <w:r>
        <w:t xml:space="preserve">英文名称: </w:t>
      </w:r>
      <w:r>
        <w:rPr>
          <w:rFonts w:hint="default"/>
        </w:rPr>
        <w:t>Exosomes of human umbilical</w:t>
      </w:r>
    </w:p>
    <w:p w14:paraId="4D699D84"/>
    <w:p w14:paraId="3E823F09">
      <w:pPr>
        <w:rPr>
          <w:rFonts w:hint="eastAsia" w:eastAsia="宋体"/>
          <w:lang w:eastAsia="zh-CN"/>
        </w:rPr>
      </w:pPr>
      <w:r>
        <w:t xml:space="preserve">分子式: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  <w:t>-</w:t>
      </w:r>
    </w:p>
    <w:p w14:paraId="0BF03DF5">
      <w:pPr>
        <w:rPr>
          <w:rFonts w:hint="eastAsia" w:eastAsia="宋体"/>
          <w:lang w:val="en-US" w:eastAsia="zh-CN"/>
        </w:rPr>
      </w:pPr>
      <w:r>
        <w:t xml:space="preserve">分子量 : </w:t>
      </w:r>
      <w:r>
        <w:rPr>
          <w:rFonts w:hint="eastAsia" w:eastAsia="宋体"/>
          <w:lang w:val="en-US" w:eastAsia="zh-CN"/>
        </w:rPr>
        <w:t>-</w:t>
      </w:r>
    </w:p>
    <w:p w14:paraId="7EC5C140">
      <w:r>
        <w:t xml:space="preserve">溶解性: </w:t>
      </w:r>
      <w:r>
        <w:rPr>
          <w:rFonts w:hint="eastAsia"/>
          <w:lang w:val="en-US" w:eastAsia="zh-CN"/>
        </w:rPr>
        <w:t>水</w:t>
      </w:r>
      <w:r>
        <w:t>溶性</w:t>
      </w:r>
    </w:p>
    <w:p w14:paraId="381B2F42">
      <w:pPr>
        <w:rPr>
          <w:rFonts w:hint="eastAsia"/>
          <w:lang w:val="en-US" w:eastAsia="zh-CN"/>
        </w:rPr>
      </w:pPr>
      <w:r>
        <w:t xml:space="preserve">类别: </w:t>
      </w:r>
      <w:r>
        <w:rPr>
          <w:rFonts w:hint="eastAsia"/>
          <w:lang w:val="en-US" w:eastAsia="zh-CN"/>
        </w:rPr>
        <w:t>化妆品原料，医疗级原料，生化与分子量试剂</w:t>
      </w:r>
    </w:p>
    <w:p w14:paraId="05C668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tbl>
      <w:tblPr>
        <w:tblStyle w:val="7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5040"/>
      </w:tblGrid>
      <w:tr w14:paraId="1C6B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11" w:type="dxa"/>
            <w:noWrap w:val="0"/>
            <w:vAlign w:val="center"/>
          </w:tcPr>
          <w:p w14:paraId="32B37662"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  <w:t>技术指标</w:t>
            </w:r>
            <w:bookmarkStart w:id="0" w:name="_GoBack"/>
            <w:bookmarkEnd w:id="0"/>
          </w:p>
        </w:tc>
        <w:tc>
          <w:tcPr>
            <w:tcW w:w="5040" w:type="dxa"/>
            <w:noWrap w:val="0"/>
            <w:vAlign w:val="center"/>
          </w:tcPr>
          <w:p w14:paraId="356A20F1"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标准</w:t>
            </w:r>
          </w:p>
        </w:tc>
      </w:tr>
      <w:tr w14:paraId="1AFF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711" w:type="dxa"/>
            <w:noWrap w:val="0"/>
            <w:vAlign w:val="center"/>
          </w:tcPr>
          <w:p w14:paraId="30104CC9">
            <w:pPr>
              <w:jc w:val="left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外观</w:t>
            </w:r>
          </w:p>
        </w:tc>
        <w:tc>
          <w:tcPr>
            <w:tcW w:w="5040" w:type="dxa"/>
            <w:noWrap w:val="0"/>
            <w:vAlign w:val="center"/>
          </w:tcPr>
          <w:p w14:paraId="1C0158D0"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白色疏松粉末</w:t>
            </w:r>
          </w:p>
        </w:tc>
      </w:tr>
      <w:tr w14:paraId="7B9D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711" w:type="dxa"/>
            <w:noWrap w:val="0"/>
            <w:vAlign w:val="center"/>
          </w:tcPr>
          <w:p w14:paraId="483853F4">
            <w:pPr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p</w:t>
            </w:r>
            <w:r>
              <w:rPr>
                <w:rFonts w:hint="eastAsia" w:ascii="华文细黑" w:hAnsi="华文细黑" w:eastAsia="华文细黑" w:cs="华文细黑"/>
              </w:rPr>
              <w:t>H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值</w:t>
            </w:r>
          </w:p>
        </w:tc>
        <w:tc>
          <w:tcPr>
            <w:tcW w:w="5040" w:type="dxa"/>
            <w:noWrap w:val="0"/>
            <w:vAlign w:val="center"/>
          </w:tcPr>
          <w:p w14:paraId="28F1D89C"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6.8-7.4</w:t>
            </w:r>
          </w:p>
        </w:tc>
      </w:tr>
      <w:tr w14:paraId="3F14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711" w:type="dxa"/>
            <w:noWrap w:val="0"/>
            <w:vAlign w:val="center"/>
          </w:tcPr>
          <w:p w14:paraId="5C435035">
            <w:pPr>
              <w:jc w:val="left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无菌检查</w:t>
            </w:r>
          </w:p>
        </w:tc>
        <w:tc>
          <w:tcPr>
            <w:tcW w:w="5040" w:type="dxa"/>
            <w:noWrap w:val="0"/>
            <w:vAlign w:val="center"/>
          </w:tcPr>
          <w:p w14:paraId="22CB5938"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应</w:t>
            </w:r>
            <w:r>
              <w:rPr>
                <w:rFonts w:hint="eastAsia" w:ascii="华文细黑" w:hAnsi="华文细黑" w:eastAsia="华文细黑" w:cs="华文细黑"/>
              </w:rPr>
              <w:t>无菌</w:t>
            </w:r>
          </w:p>
        </w:tc>
      </w:tr>
      <w:tr w14:paraId="7BE3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711" w:type="dxa"/>
            <w:noWrap w:val="0"/>
            <w:vAlign w:val="center"/>
          </w:tcPr>
          <w:p w14:paraId="1E96F052">
            <w:pPr>
              <w:jc w:val="left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内毒素检查</w:t>
            </w:r>
          </w:p>
        </w:tc>
        <w:tc>
          <w:tcPr>
            <w:tcW w:w="5040" w:type="dxa"/>
            <w:noWrap w:val="0"/>
            <w:vAlign w:val="center"/>
          </w:tcPr>
          <w:p w14:paraId="3E145F04">
            <w:pPr>
              <w:jc w:val="center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&lt;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0.</w:t>
            </w:r>
            <w:r>
              <w:rPr>
                <w:rFonts w:hint="eastAsia" w:ascii="华文细黑" w:hAnsi="华文细黑" w:eastAsia="华文细黑" w:cs="华文细黑"/>
              </w:rPr>
              <w:t>5EU/m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g</w:t>
            </w:r>
          </w:p>
        </w:tc>
      </w:tr>
      <w:tr w14:paraId="0F83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711" w:type="dxa"/>
            <w:noWrap w:val="0"/>
            <w:vAlign w:val="center"/>
          </w:tcPr>
          <w:p w14:paraId="398B68BB">
            <w:pPr>
              <w:jc w:val="left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纳米流式粒径分布</w:t>
            </w:r>
          </w:p>
        </w:tc>
        <w:tc>
          <w:tcPr>
            <w:tcW w:w="5040" w:type="dxa"/>
            <w:noWrap w:val="0"/>
            <w:vAlign w:val="center"/>
          </w:tcPr>
          <w:p w14:paraId="1DD6501F"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30-150nm</w:t>
            </w:r>
          </w:p>
        </w:tc>
      </w:tr>
      <w:tr w14:paraId="2432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711" w:type="dxa"/>
            <w:noWrap w:val="0"/>
            <w:vAlign w:val="center"/>
          </w:tcPr>
          <w:p w14:paraId="7706AF25">
            <w:pPr>
              <w:jc w:val="left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纳米流式颗粒浓度</w:t>
            </w:r>
          </w:p>
        </w:tc>
        <w:tc>
          <w:tcPr>
            <w:tcW w:w="5040" w:type="dxa"/>
            <w:noWrap w:val="0"/>
            <w:vAlign w:val="center"/>
          </w:tcPr>
          <w:p w14:paraId="57413230">
            <w:pPr>
              <w:jc w:val="center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≥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</w:rPr>
              <w:t>.0E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9</w:t>
            </w:r>
          </w:p>
        </w:tc>
      </w:tr>
      <w:tr w14:paraId="18EA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711" w:type="dxa"/>
            <w:noWrap w:val="0"/>
            <w:vAlign w:val="center"/>
          </w:tcPr>
          <w:p w14:paraId="6E84578A">
            <w:pPr>
              <w:jc w:val="left"/>
              <w:rPr>
                <w:rFonts w:hint="eastAsia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重金属</w:t>
            </w:r>
          </w:p>
        </w:tc>
        <w:tc>
          <w:tcPr>
            <w:tcW w:w="5040" w:type="dxa"/>
            <w:noWrap w:val="0"/>
            <w:vAlign w:val="center"/>
          </w:tcPr>
          <w:p w14:paraId="32EAB38F">
            <w:pPr>
              <w:jc w:val="center"/>
              <w:rPr>
                <w:rFonts w:hint="eastAsia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≤20mg/kg</w:t>
            </w:r>
          </w:p>
        </w:tc>
      </w:tr>
    </w:tbl>
    <w:p w14:paraId="4FC1492C"/>
    <w:p w14:paraId="01A72A5D">
      <w:r>
        <w:drawing>
          <wp:inline distT="0" distB="0" distL="0" distR="0">
            <wp:extent cx="5608320" cy="361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70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2CE1"/>
    <w:p w14:paraId="5AAA218E">
      <w:pPr>
        <w:sectPr>
          <w:footerReference r:id="rId5" w:type="default"/>
          <w:pgSz w:w="12240" w:h="15840"/>
          <w:pgMar w:top="1440" w:right="1080" w:bottom="1440" w:left="1080" w:header="0" w:footer="0" w:gutter="0"/>
          <w:cols w:equalWidth="0" w:num="1">
            <w:col w:w="12240"/>
          </w:cols>
        </w:sectPr>
      </w:pPr>
    </w:p>
    <w:p w14:paraId="4EBE97A1"/>
    <w:p w14:paraId="2128DD3B">
      <w:r>
        <w:br w:type="column"/>
      </w:r>
    </w:p>
    <w:p w14:paraId="30C34BC9">
      <w:pPr>
        <w:rPr>
          <w:rFonts w:hint="eastAsia" w:eastAsia="宋体"/>
          <w:lang w:eastAsia="zh-CN"/>
        </w:rPr>
      </w:pPr>
    </w:p>
    <w:p w14:paraId="7AB19D17">
      <w:pPr>
        <w:rPr>
          <w:rFonts w:hint="eastAsia" w:eastAsia="宋体"/>
          <w:lang w:eastAsia="zh-CN"/>
        </w:rPr>
      </w:pPr>
    </w:p>
    <w:p w14:paraId="5E42A4D8">
      <w:pPr>
        <w:sectPr>
          <w:type w:val="continuous"/>
          <w:pgSz w:w="12240" w:h="15840"/>
          <w:pgMar w:top="1440" w:right="1080" w:bottom="1440" w:left="1080" w:header="0" w:footer="0" w:gutter="0"/>
          <w:cols w:equalWidth="0" w:num="3">
            <w:col w:w="3510" w:space="100"/>
            <w:col w:w="3355" w:space="100"/>
            <w:col w:w="3017"/>
          </w:cols>
        </w:sect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-335915</wp:posOffset>
            </wp:positionV>
            <wp:extent cx="1416685" cy="1410335"/>
            <wp:effectExtent l="0" t="0" r="12065" b="18415"/>
            <wp:wrapSquare wrapText="bothSides"/>
            <wp:docPr id="3" name="F35B0BEE-F18A-47BB-8FCB-E00DA2F2635D-1" descr="C:/Users/Administrator/AppData/Local/Temp/wps.zOYRfY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35B0BEE-F18A-47BB-8FCB-E00DA2F2635D-1" descr="C:/Users/Administrator/AppData/Local/Temp/wps.zOYRfYw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C78ED"/>
    <w:p w14:paraId="07CD60B0"/>
    <w:p w14:paraId="2BB19300">
      <w:pPr>
        <w:sectPr>
          <w:type w:val="continuous"/>
          <w:pgSz w:w="12240" w:h="15840"/>
          <w:pgMar w:top="1440" w:right="1080" w:bottom="1440" w:left="1080" w:header="0" w:footer="0" w:gutter="0"/>
          <w:cols w:equalWidth="0" w:num="1">
            <w:col w:w="12240"/>
          </w:cols>
        </w:sectPr>
      </w:pPr>
    </w:p>
    <w:p w14:paraId="51C14010">
      <w:r>
        <w:t>溶解性:</w:t>
      </w:r>
    </w:p>
    <w:p w14:paraId="5B6D616E">
      <w:r>
        <w:t xml:space="preserve">水:                                                               </w:t>
      </w:r>
      <w:r>
        <w:rPr>
          <w:rFonts w:hint="eastAsia"/>
          <w:lang w:val="en-US" w:eastAsia="zh-CN"/>
        </w:rPr>
        <w:t>易</w:t>
      </w:r>
      <w:r>
        <w:t>溶</w:t>
      </w:r>
    </w:p>
    <w:p w14:paraId="511E225E">
      <w:r>
        <w:t>甘油:                                                        不溶</w:t>
      </w:r>
    </w:p>
    <w:p w14:paraId="62E68BE8">
      <w:r>
        <w:t>丙二醇:                                                     不溶</w:t>
      </w:r>
    </w:p>
    <w:p w14:paraId="55A9FA4F">
      <w:r>
        <w:t>丁二醇:                                                     不溶</w:t>
      </w:r>
    </w:p>
    <w:p w14:paraId="605F063D">
      <w:r>
        <w:t>乙醇:                                                        不溶</w:t>
      </w:r>
    </w:p>
    <w:p w14:paraId="1144FF0D">
      <w:r>
        <w:t>丙二醇辛酸酯:                                       不溶</w:t>
      </w:r>
    </w:p>
    <w:p w14:paraId="3DAFABB6">
      <w:r>
        <w:t>蓖麻油:                                                      不溶</w:t>
      </w:r>
    </w:p>
    <w:p w14:paraId="6F8D2A67">
      <w:r>
        <w:t>甘油三酸酯:                                            不溶</w:t>
      </w:r>
    </w:p>
    <w:p w14:paraId="1E22C8C0">
      <w:r>
        <w:t>橄榄油:                                                    不溶</w:t>
      </w:r>
    </w:p>
    <w:p w14:paraId="3779B960">
      <w:r>
        <w:t>矿物油:                                                    不溶</w:t>
      </w:r>
    </w:p>
    <w:p w14:paraId="1B135FE6">
      <w:r>
        <w:drawing>
          <wp:inline distT="0" distB="0" distL="0" distR="0">
            <wp:extent cx="5692140" cy="35560"/>
            <wp:effectExtent l="0" t="0" r="3810" b="254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2178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C564"/>
    <w:p w14:paraId="25AABF25"/>
    <w:p w14:paraId="2F2E4466"/>
    <w:p w14:paraId="798534E7">
      <w:r>
        <w:t>产品介绍：</w:t>
      </w:r>
    </w:p>
    <w:p w14:paraId="543B8696">
      <w:pPr>
        <w:rPr>
          <w:rFonts w:hint="eastAsia"/>
        </w:rPr>
      </w:pPr>
      <w:r>
        <w:rPr>
          <w:rFonts w:hint="eastAsia"/>
          <w:lang w:val="en-US" w:eastAsia="zh-CN"/>
        </w:rPr>
        <w:t>产品</w:t>
      </w:r>
      <w:r>
        <w:rPr>
          <w:rFonts w:hint="eastAsia"/>
        </w:rPr>
        <w:t>简介</w:t>
      </w:r>
    </w:p>
    <w:p w14:paraId="437EEB22">
      <w:pPr>
        <w:rPr>
          <w:rFonts w:hint="eastAsia"/>
        </w:rPr>
      </w:pPr>
      <w:r>
        <w:t> </w:t>
      </w:r>
      <w:r>
        <w:rPr>
          <w:rFonts w:hint="default"/>
        </w:rPr>
        <w:t>      </w:t>
      </w:r>
      <w:r>
        <w:rPr>
          <w:rFonts w:hint="eastAsia"/>
        </w:rPr>
        <w:t>间充质干细胞（MSCs）具有多向分化、免疫调节、抗炎、抗凋亡和促血管生成等生物学特性，在组织修复及免疫调控等方 面发挥重要作用，被广泛用于人类各种疾病的研究和治疗。随着研究的深入，学者们发现MSCs的功能发挥主要通过旁分泌途径，而外泌体在细胞旁分泌过程中扮演着重要角色。MSCs来源的外泌体不仅可以行使MSCs的功能，而且具备多种优点， 如无免疫原性、无致瘤风险等，尤其是 靶向性和效应性更强的工程化外泌体 ，展现出了在临床治疗和药物负载方面的巨大应用潜力。</w:t>
      </w:r>
    </w:p>
    <w:p w14:paraId="50B6896A">
      <w:pPr>
        <w:rPr>
          <w:rFonts w:hint="eastAsia"/>
        </w:rPr>
      </w:pPr>
      <w:r>
        <w:rPr>
          <w:rFonts w:hint="eastAsia"/>
        </w:rPr>
        <w:t>        外泌体（exosomes）是 内涵体来源的，经由多泡体与细胞膜融合，从而释放到细胞外的 细胞外囊泡（EVs）。外泌体一般直径在30-150nm，具有来源细胞的胞质和胞膜成分，含有多种蛋白质，mRNA，miRNA和脂质等活性成分，在维持细胞内环境和介导细胞间通讯方面具有重要作用。</w:t>
      </w:r>
    </w:p>
    <w:p w14:paraId="60443AE1"/>
    <w:p w14:paraId="4DA7C38D">
      <w:r>
        <w:t>产品特点：</w:t>
      </w:r>
    </w:p>
    <w:p w14:paraId="1EF480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创新智能微载体培养，外泌体表达丰富，形貌球行度好，主要粒径在50~100nm，利于细胞内吞产生生物功效；</w:t>
      </w:r>
    </w:p>
    <w:p w14:paraId="2B5117AB">
      <w:pPr>
        <w:rPr>
          <w:rFonts w:hint="eastAsia"/>
          <w:lang w:val="en-US" w:eastAsia="zh-CN"/>
        </w:rPr>
      </w:pPr>
    </w:p>
    <w:p w14:paraId="160E9388"/>
    <w:p w14:paraId="0057ED4D">
      <w:r>
        <w:t>产品功效：</w:t>
      </w:r>
    </w:p>
    <w:p w14:paraId="7121BA35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修复，促进皮肤胶原蛋白合成，促进伤口愈合；</w:t>
      </w:r>
    </w:p>
    <w:p w14:paraId="49BB3279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亮肤，降低肌肤ROS自由基，提亮肤质；</w:t>
      </w:r>
    </w:p>
    <w:p w14:paraId="0B2E8084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抗炎，抵抗炎性表达，舒缓肌肤，</w:t>
      </w:r>
    </w:p>
    <w:p w14:paraId="32BB86DE">
      <w:r>
        <w:rPr>
          <w:rFonts w:hint="eastAsia" w:eastAsia="宋体"/>
          <w:lang w:val="en-US" w:eastAsia="zh-CN"/>
        </w:rPr>
        <w:t>抗衰，强化肌肤胶原蛋白合成紧致肌肤；</w:t>
      </w:r>
    </w:p>
    <w:p w14:paraId="5A6B6052"/>
    <w:p w14:paraId="65DF37DB">
      <w:r>
        <w:t>产品应用 :</w:t>
      </w:r>
    </w:p>
    <w:p w14:paraId="4447A9C2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泌体冻干粉必须现配先用，避免失活，为保证最大的功效活性，配合液体，一次未使用完务必冷藏保存，且当日用完；配合溶媒使用，进行水光导入；痤疮直接应用，起到修复抗炎功效，痤疮肌肤使用后有轻微加快，炎性物质分泌作用，属于正常现象；可用于肌肤抗衰，抗炎，紧致、亮肤等；</w:t>
      </w:r>
    </w:p>
    <w:p w14:paraId="5395F600"/>
    <w:p w14:paraId="2369E746">
      <w:pPr>
        <w:rPr>
          <w:rFonts w:hint="default"/>
        </w:rPr>
      </w:pPr>
      <w:r>
        <w:t>推荐用量 :   10或25亿规格</w:t>
      </w:r>
    </w:p>
    <w:p w14:paraId="024B9345"/>
    <w:p w14:paraId="61602FB6">
      <w:pPr>
        <w:rPr>
          <w:rFonts w:hint="default" w:eastAsia="宋体"/>
          <w:lang w:val="en-US" w:eastAsia="zh-CN"/>
        </w:rPr>
      </w:pPr>
      <w:r>
        <w:t>贮存条件 : 避光、</w:t>
      </w:r>
      <w:r>
        <w:rPr>
          <w:rFonts w:hint="eastAsia" w:eastAsia="宋体"/>
          <w:lang w:val="en-US" w:eastAsia="zh-CN"/>
        </w:rPr>
        <w:t>2-8</w:t>
      </w:r>
      <w:r>
        <w:rPr>
          <w:rFonts w:hint="eastAsia" w:ascii="微软雅黑" w:hAnsi="微软雅黑" w:eastAsia="微软雅黑" w:cs="微软雅黑"/>
          <w:lang w:val="en-US" w:eastAsia="zh-CN"/>
        </w:rPr>
        <w:t>℃</w:t>
      </w:r>
      <w:r>
        <w:t>阴凉处密封保存。</w:t>
      </w:r>
      <w:r>
        <w:rPr>
          <w:rFonts w:hint="eastAsia" w:eastAsia="宋体"/>
          <w:lang w:val="en-US" w:eastAsia="zh-CN"/>
        </w:rPr>
        <w:t>保存期为6个月，-20</w:t>
      </w:r>
      <w:r>
        <w:rPr>
          <w:rFonts w:hint="eastAsia" w:ascii="微软雅黑" w:hAnsi="微软雅黑" w:eastAsia="微软雅黑" w:cs="微软雅黑"/>
          <w:lang w:val="en-US" w:eastAsia="zh-CN"/>
        </w:rPr>
        <w:t>℃</w:t>
      </w:r>
      <w:r>
        <w:rPr>
          <w:rFonts w:hint="eastAsia" w:eastAsia="微软雅黑"/>
          <w:lang w:val="en-US" w:eastAsia="zh-CN"/>
        </w:rPr>
        <w:t>冷冻</w:t>
      </w:r>
      <w:r>
        <w:t>密封保存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保存期为2年；</w:t>
      </w:r>
    </w:p>
    <w:p w14:paraId="4AEC665D"/>
    <w:p w14:paraId="55EBC907">
      <w:r>
        <w:rPr>
          <w:rFonts w:hint="eastAsia"/>
          <w:lang w:val="en-US" w:eastAsia="zh-CN"/>
        </w:rPr>
        <w:t>包装</w:t>
      </w:r>
      <w:r>
        <w:t>装规格:</w:t>
      </w:r>
      <w:r>
        <w:rPr>
          <w:rFonts w:hint="eastAsia" w:eastAsia="宋体"/>
          <w:lang w:val="en-US" w:eastAsia="zh-CN"/>
        </w:rPr>
        <w:t>10亿颗粒数/瓶；25亿</w:t>
      </w:r>
      <w:r>
        <w:t>/</w:t>
      </w:r>
      <w:r>
        <w:rPr>
          <w:rFonts w:hint="eastAsia"/>
          <w:lang w:val="en-US" w:eastAsia="zh-CN"/>
        </w:rPr>
        <w:t>瓶</w:t>
      </w:r>
      <w:r>
        <w:t>，</w:t>
      </w:r>
      <w:r>
        <w:rPr>
          <w:rFonts w:hint="eastAsia"/>
          <w:lang w:val="en-US" w:eastAsia="zh-CN"/>
        </w:rPr>
        <w:t xml:space="preserve">高硼硅西林瓶包装 </w:t>
      </w:r>
      <w:r>
        <w:t xml:space="preserve"> </w:t>
      </w:r>
    </w:p>
    <w:p w14:paraId="74CE7A4E"/>
    <w:p w14:paraId="6267FD58"/>
    <w:sectPr>
      <w:type w:val="continuous"/>
      <w:pgSz w:w="12240" w:h="15840"/>
      <w:pgMar w:top="1440" w:right="1080" w:bottom="1440" w:left="1080" w:header="0" w:footer="0" w:gutter="0"/>
      <w:cols w:equalWidth="0" w:num="1">
        <w:col w:w="122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19756FED-E246-4B2D-9068-4DEA8A34A569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B0DDBC3-9C5A-4227-8F05-EEE639B568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2D46"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NkODY1ZjYwNmJiZGNlYjY5NTlhNzkxODkwZDRlZmUifQ=="/>
  </w:docVars>
  <w:rsids>
    <w:rsidRoot w:val="00000000"/>
    <w:rsid w:val="00661709"/>
    <w:rsid w:val="051A0FB1"/>
    <w:rsid w:val="10FA61E7"/>
    <w:rsid w:val="1AEE0821"/>
    <w:rsid w:val="1D4A6F92"/>
    <w:rsid w:val="23A212EB"/>
    <w:rsid w:val="23A24A90"/>
    <w:rsid w:val="27CC1EEA"/>
    <w:rsid w:val="288E0F4E"/>
    <w:rsid w:val="323B0398"/>
    <w:rsid w:val="32441119"/>
    <w:rsid w:val="34C77C5A"/>
    <w:rsid w:val="3B1D53B6"/>
    <w:rsid w:val="3B924BB0"/>
    <w:rsid w:val="3D9A730D"/>
    <w:rsid w:val="48ED04EC"/>
    <w:rsid w:val="4AFD5D93"/>
    <w:rsid w:val="5B664E7F"/>
    <w:rsid w:val="5CE16EEF"/>
    <w:rsid w:val="60E455D3"/>
    <w:rsid w:val="6C6B4DFB"/>
    <w:rsid w:val="6EFA06B8"/>
    <w:rsid w:val="76E47DE4"/>
    <w:rsid w:val="78E61233"/>
    <w:rsid w:val="796B468C"/>
    <w:rsid w:val="799B65F3"/>
    <w:rsid w:val="7A0438CB"/>
    <w:rsid w:val="7B8E4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extobjs>
    <extobj name="F35B0BEE-F18A-47BB-8FCB-E00DA2F2635D-1">
      <extobjdata type="F35B0BEE-F18A-47BB-8FCB-E00DA2F2635D" data="ewoJIkRlc2lnbklkIiA6ICI3YzFlMDJlMy1lNzQ2LTQ0NjEtOGFiZi1kODdmOTI1M2ViYT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1023</Characters>
  <TotalTime>152</TotalTime>
  <ScaleCrop>false</ScaleCrop>
  <LinksUpToDate>false</LinksUpToDate>
  <CharactersWithSpaces>1596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2022-05-27T13:50:00Z</dcterms:created>
  <dc:creator>AutoBVT</dc:creator>
  <cp:lastModifiedBy>Li Heng</cp:lastModifiedBy>
  <dcterms:modified xsi:type="dcterms:W3CDTF">2024-07-03T05:37:35Z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2024-07-01T16:42:39Z</vt:filetime>
  </property>
  <property fmtid="{D5CDD505-2E9C-101B-9397-08002B2CF9AE}" pid="4" name="KSOProductBuildVer">
    <vt:lpwstr>2052-12.1.0.17133</vt:lpwstr>
  </property>
  <property fmtid="{D5CDD505-2E9C-101B-9397-08002B2CF9AE}" pid="5" name="ICV">
    <vt:lpwstr>5B2097168D3941E2812D5CF90A3486C1_13</vt:lpwstr>
  </property>
</Properties>
</file>