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6224E"/>
    <w:p w14:paraId="77442A77"/>
    <w:p w14:paraId="6C72EBBB">
      <w:r>
        <w:t>技术说明书 Technical Data Sheet</w:t>
      </w:r>
    </w:p>
    <w:p w14:paraId="28B9AC94">
      <w:r>
        <w:drawing>
          <wp:inline distT="0" distB="0" distL="0" distR="0">
            <wp:extent cx="5692775" cy="292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2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1B2E"/>
    <w:p w14:paraId="4593BA48"/>
    <w:p w14:paraId="2C0D9211">
      <w:pPr>
        <w:rPr>
          <w:rFonts w:hint="default"/>
          <w:lang w:val="en-US" w:eastAsia="zh-CN"/>
        </w:rPr>
      </w:pPr>
      <w:r>
        <w:t xml:space="preserve">标准中文名称: </w:t>
      </w:r>
      <w:r>
        <w:rPr>
          <w:rFonts w:hint="eastAsia"/>
          <w:lang w:val="en-US" w:eastAsia="zh-CN"/>
        </w:rPr>
        <w:t xml:space="preserve">  SH-五肽-1</w:t>
      </w:r>
    </w:p>
    <w:p w14:paraId="213A3161">
      <w:r>
        <w:t>INCI 名称（英文）：</w:t>
      </w:r>
      <w:r>
        <w:rPr>
          <w:rFonts w:ascii="宋体" w:hAnsi="宋体" w:eastAsia="宋体" w:cs="宋体"/>
          <w:sz w:val="24"/>
          <w:szCs w:val="24"/>
        </w:rPr>
        <w:t>SH-PENTAPEPTIDE-1</w:t>
      </w:r>
    </w:p>
    <w:p w14:paraId="621BA9CC">
      <w:pPr>
        <w:rPr>
          <w:rFonts w:hint="default" w:eastAsia="宋体"/>
          <w:lang w:val="en-US" w:eastAsia="zh-CN"/>
        </w:rPr>
      </w:pPr>
      <w:r>
        <w:t xml:space="preserve">别名 : </w:t>
      </w:r>
      <w:r>
        <w:rPr>
          <w:rFonts w:hint="eastAsia" w:eastAsia="宋体"/>
          <w:lang w:val="en-US" w:eastAsia="zh-CN"/>
        </w:rPr>
        <w:t>活性肽</w:t>
      </w:r>
    </w:p>
    <w:p w14:paraId="06F0798A">
      <w:r>
        <w:t xml:space="preserve">CAS : </w:t>
      </w:r>
      <w:r>
        <w:rPr>
          <w:rFonts w:hint="eastAsia"/>
          <w:lang w:val="en-US" w:eastAsia="zh-CN"/>
        </w:rPr>
        <w:t>-</w:t>
      </w:r>
    </w:p>
    <w:p w14:paraId="3C0D9FA1">
      <w:r>
        <w:t xml:space="preserve">英文名称: </w:t>
      </w:r>
      <w:r>
        <w:rPr>
          <w:rFonts w:ascii="宋体" w:hAnsi="宋体" w:eastAsia="宋体" w:cs="宋体"/>
          <w:sz w:val="24"/>
          <w:szCs w:val="24"/>
        </w:rPr>
        <w:t>SH-PENTAPEPTIDE-1</w:t>
      </w:r>
    </w:p>
    <w:p w14:paraId="220AD0BA">
      <w:pP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</w:pPr>
      <w:r>
        <w:t xml:space="preserve">分子式: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fill="FFFFFF"/>
          <w:lang w:val="en-US" w:eastAsia="zh-CN"/>
        </w:rPr>
        <w:t>-</w:t>
      </w:r>
    </w:p>
    <w:p w14:paraId="7BB83D3C">
      <w:pPr>
        <w:rPr>
          <w:rFonts w:hint="eastAsia" w:eastAsia="宋体"/>
          <w:lang w:val="en-US" w:eastAsia="zh-CN"/>
        </w:rPr>
      </w:pPr>
      <w:r>
        <w:t>分子量 :</w:t>
      </w:r>
      <w:r>
        <w:rPr>
          <w:rFonts w:hint="eastAsia" w:eastAsia="宋体"/>
          <w:lang w:val="en-US" w:eastAsia="zh-CN"/>
        </w:rPr>
        <w:t>-</w:t>
      </w:r>
    </w:p>
    <w:p w14:paraId="24ED9C45">
      <w:r>
        <w:t xml:space="preserve">溶解性: </w:t>
      </w:r>
      <w:r>
        <w:rPr>
          <w:rFonts w:hint="eastAsia"/>
          <w:lang w:val="en-US" w:eastAsia="zh-CN"/>
        </w:rPr>
        <w:t>水</w:t>
      </w:r>
      <w:r>
        <w:t>溶性</w:t>
      </w:r>
    </w:p>
    <w:p w14:paraId="478AA20C">
      <w:pPr>
        <w:rPr>
          <w:rFonts w:hint="eastAsia"/>
          <w:lang w:val="en-US" w:eastAsia="zh-CN"/>
        </w:rPr>
      </w:pPr>
      <w:r>
        <w:t xml:space="preserve">类别: </w:t>
      </w:r>
      <w:r>
        <w:rPr>
          <w:rFonts w:hint="eastAsia"/>
          <w:lang w:val="en-US" w:eastAsia="zh-CN"/>
        </w:rPr>
        <w:t>化妆品原料，医疗级原料，生化与分子量试剂</w:t>
      </w:r>
      <w:bookmarkStart w:id="0" w:name="_GoBack"/>
      <w:bookmarkEnd w:id="0"/>
    </w:p>
    <w:p w14:paraId="72F21B6C"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="1492" w:tblpY="5883"/>
        <w:tblOverlap w:val="never"/>
        <w:tblW w:w="6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3612"/>
      </w:tblGrid>
      <w:tr w14:paraId="26F0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90" w:type="dxa"/>
            <w:noWrap w:val="0"/>
            <w:vAlign w:val="center"/>
          </w:tcPr>
          <w:p w14:paraId="6817A244">
            <w:pPr>
              <w:jc w:val="center"/>
              <w:rPr>
                <w:rFonts w:hint="default" w:ascii="华文细黑" w:hAnsi="华文细黑" w:eastAsia="华文细黑" w:cs="华文细黑"/>
                <w:b w:val="0"/>
                <w:bCs w:val="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lang w:val="en-US" w:eastAsia="zh-CN"/>
              </w:rPr>
              <w:t>技术指标</w:t>
            </w:r>
          </w:p>
        </w:tc>
        <w:tc>
          <w:tcPr>
            <w:tcW w:w="3612" w:type="dxa"/>
            <w:noWrap w:val="0"/>
            <w:vAlign w:val="center"/>
          </w:tcPr>
          <w:p w14:paraId="6A344F22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</w:rPr>
              <w:t>标准</w:t>
            </w:r>
          </w:p>
        </w:tc>
      </w:tr>
      <w:tr w14:paraId="0F0F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890" w:type="dxa"/>
            <w:noWrap w:val="0"/>
            <w:vAlign w:val="center"/>
          </w:tcPr>
          <w:p w14:paraId="759F6D56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外观</w:t>
            </w:r>
          </w:p>
        </w:tc>
        <w:tc>
          <w:tcPr>
            <w:tcW w:w="3612" w:type="dxa"/>
            <w:noWrap w:val="0"/>
            <w:vAlign w:val="center"/>
          </w:tcPr>
          <w:p w14:paraId="4B31B089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白色或类白色，颗粒或粉末</w:t>
            </w:r>
          </w:p>
        </w:tc>
      </w:tr>
      <w:tr w14:paraId="53B8F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90" w:type="dxa"/>
            <w:noWrap w:val="0"/>
            <w:vAlign w:val="center"/>
          </w:tcPr>
          <w:p w14:paraId="1029682C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p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H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值</w:t>
            </w:r>
          </w:p>
        </w:tc>
        <w:tc>
          <w:tcPr>
            <w:tcW w:w="3612" w:type="dxa"/>
            <w:noWrap w:val="0"/>
            <w:vAlign w:val="center"/>
          </w:tcPr>
          <w:p w14:paraId="1F54980B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6.8-7.4</w:t>
            </w:r>
          </w:p>
        </w:tc>
      </w:tr>
      <w:tr w14:paraId="2994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890" w:type="dxa"/>
            <w:noWrap w:val="0"/>
            <w:vAlign w:val="center"/>
          </w:tcPr>
          <w:p w14:paraId="4A4BFEBE">
            <w:pPr>
              <w:jc w:val="center"/>
              <w:rPr>
                <w:rFonts w:hint="eastAsia" w:ascii="华文细黑" w:hAnsi="华文细黑" w:eastAsia="华文细黑" w:cs="华文细黑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纯度(HPLC)</w:t>
            </w:r>
          </w:p>
        </w:tc>
        <w:tc>
          <w:tcPr>
            <w:tcW w:w="3612" w:type="dxa"/>
            <w:noWrap w:val="0"/>
            <w:vAlign w:val="center"/>
          </w:tcPr>
          <w:p w14:paraId="4FA3C935">
            <w:pPr>
              <w:jc w:val="center"/>
              <w:rPr>
                <w:rFonts w:hint="default" w:ascii="华文细黑" w:hAnsi="华文细黑" w:eastAsia="华文细黑" w:cs="华文细黑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≥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lang w:val="en-US" w:eastAsia="zh-CN"/>
              </w:rPr>
              <w:t>90%</w:t>
            </w:r>
          </w:p>
        </w:tc>
      </w:tr>
      <w:tr w14:paraId="2137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890" w:type="dxa"/>
            <w:noWrap w:val="0"/>
            <w:vAlign w:val="center"/>
          </w:tcPr>
          <w:p w14:paraId="418D613C">
            <w:pPr>
              <w:jc w:val="center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水分</w:t>
            </w:r>
          </w:p>
        </w:tc>
        <w:tc>
          <w:tcPr>
            <w:tcW w:w="3612" w:type="dxa"/>
            <w:noWrap w:val="0"/>
            <w:vAlign w:val="center"/>
          </w:tcPr>
          <w:p w14:paraId="121B45C3">
            <w:pPr>
              <w:jc w:val="center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</w:rPr>
              <w:t>≤10%</w:t>
            </w:r>
          </w:p>
        </w:tc>
      </w:tr>
      <w:tr w14:paraId="380C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90" w:type="dxa"/>
            <w:noWrap w:val="0"/>
            <w:vAlign w:val="center"/>
          </w:tcPr>
          <w:p w14:paraId="27B5E456">
            <w:pPr>
              <w:jc w:val="center"/>
              <w:rPr>
                <w:rFonts w:hint="default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9"/>
                <w:szCs w:val="19"/>
                <w:lang w:val="en-US" w:eastAsia="zh-CN" w:bidi="ar"/>
              </w:rPr>
              <w:t>*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铅</w:t>
            </w:r>
          </w:p>
        </w:tc>
        <w:tc>
          <w:tcPr>
            <w:tcW w:w="3612" w:type="dxa"/>
            <w:noWrap w:val="0"/>
            <w:vAlign w:val="center"/>
          </w:tcPr>
          <w:p w14:paraId="68F07055">
            <w:pPr>
              <w:jc w:val="center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≤20mg/kg</w:t>
            </w:r>
          </w:p>
        </w:tc>
      </w:tr>
      <w:tr w14:paraId="01C3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890" w:type="dxa"/>
            <w:noWrap w:val="0"/>
            <w:vAlign w:val="center"/>
          </w:tcPr>
          <w:p w14:paraId="1A57E2D0">
            <w:pPr>
              <w:jc w:val="center"/>
              <w:rPr>
                <w:rFonts w:hint="default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霉菌和酵母菌</w:t>
            </w:r>
          </w:p>
        </w:tc>
        <w:tc>
          <w:tcPr>
            <w:tcW w:w="3612" w:type="dxa"/>
            <w:noWrap w:val="0"/>
            <w:vAlign w:val="center"/>
          </w:tcPr>
          <w:p w14:paraId="077878D4">
            <w:pPr>
              <w:jc w:val="center"/>
              <w:rPr>
                <w:rFonts w:hint="eastAsia" w:ascii="华文细黑" w:hAnsi="华文细黑" w:eastAsia="华文细黑" w:cs="华文细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</w:rPr>
              <w:t>≤50cfu/g</w:t>
            </w:r>
          </w:p>
        </w:tc>
      </w:tr>
      <w:tr w14:paraId="7A48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890" w:type="dxa"/>
            <w:noWrap w:val="0"/>
            <w:vAlign w:val="center"/>
          </w:tcPr>
          <w:p w14:paraId="46562E29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细菌菌落总数</w:t>
            </w:r>
          </w:p>
        </w:tc>
        <w:tc>
          <w:tcPr>
            <w:tcW w:w="3612" w:type="dxa"/>
            <w:noWrap w:val="0"/>
            <w:vAlign w:val="center"/>
          </w:tcPr>
          <w:p w14:paraId="4F454FFE">
            <w:pPr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&lt;100cfu/g</w:t>
            </w:r>
          </w:p>
        </w:tc>
      </w:tr>
    </w:tbl>
    <w:p w14:paraId="2AF82854">
      <w:pPr>
        <w:rPr>
          <w:rFonts w:hint="default"/>
          <w:lang w:val="en-US" w:eastAsia="zh-CN"/>
        </w:rPr>
      </w:pPr>
    </w:p>
    <w:p w14:paraId="5376955B"/>
    <w:p w14:paraId="28271B76"/>
    <w:p w14:paraId="0F8F0F0D"/>
    <w:p w14:paraId="673564EC"/>
    <w:p w14:paraId="561CCD6C"/>
    <w:p w14:paraId="2878A455"/>
    <w:p w14:paraId="57F29BCA"/>
    <w:p w14:paraId="057C7B4C"/>
    <w:p w14:paraId="55ED2C68"/>
    <w:p w14:paraId="48991C43"/>
    <w:p w14:paraId="38E62CE1"/>
    <w:p w14:paraId="25E5D482">
      <w:pPr>
        <w:sectPr>
          <w:footerReference r:id="rId5" w:type="default"/>
          <w:pgSz w:w="12240" w:h="15840"/>
          <w:pgMar w:top="1440" w:right="1080" w:bottom="1440" w:left="1080" w:header="0" w:footer="0" w:gutter="0"/>
          <w:cols w:equalWidth="0" w:num="1">
            <w:col w:w="12240"/>
          </w:cols>
        </w:sectPr>
      </w:pPr>
    </w:p>
    <w:p w14:paraId="4EBE97A1"/>
    <w:p w14:paraId="2128DD3B">
      <w:r>
        <w:br w:type="column"/>
      </w:r>
    </w:p>
    <w:p w14:paraId="30C34BC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60960</wp:posOffset>
            </wp:positionV>
            <wp:extent cx="1414780" cy="1410335"/>
            <wp:effectExtent l="0" t="0" r="13970" b="18415"/>
            <wp:wrapSquare wrapText="bothSides"/>
            <wp:docPr id="2" name="F35B0BEE-F18A-47BB-8FCB-E00DA2F2635D-1" descr="C:/Users/Administrator/AppData/Local/Temp/wps.hMELqj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5B0BEE-F18A-47BB-8FCB-E00DA2F2635D-1" descr="C:/Users/Administrator/AppData/Local/Temp/wps.hMELqjwp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B19D17"/>
    <w:p w14:paraId="0C040E5C">
      <w:pPr>
        <w:sectPr>
          <w:type w:val="continuous"/>
          <w:pgSz w:w="12240" w:h="15840"/>
          <w:pgMar w:top="1440" w:right="1080" w:bottom="1440" w:left="1080" w:header="0" w:footer="0" w:gutter="0"/>
          <w:cols w:equalWidth="0" w:num="3">
            <w:col w:w="3510" w:space="100"/>
            <w:col w:w="3355" w:space="100"/>
            <w:col w:w="3017"/>
          </w:cols>
        </w:sectPr>
      </w:pPr>
    </w:p>
    <w:p w14:paraId="359C78ED"/>
    <w:p w14:paraId="07CD60B0"/>
    <w:p w14:paraId="53E1458E">
      <w:pPr>
        <w:sectPr>
          <w:type w:val="continuous"/>
          <w:pgSz w:w="12240" w:h="15840"/>
          <w:pgMar w:top="1440" w:right="1080" w:bottom="1440" w:left="1080" w:header="0" w:footer="0" w:gutter="0"/>
          <w:cols w:equalWidth="0" w:num="1">
            <w:col w:w="12240"/>
          </w:cols>
        </w:sectPr>
      </w:pPr>
    </w:p>
    <w:p w14:paraId="51C14010">
      <w:r>
        <w:t>溶解性:</w:t>
      </w:r>
    </w:p>
    <w:p w14:paraId="5B6D616E">
      <w:r>
        <w:t xml:space="preserve">水:                                                               </w:t>
      </w:r>
      <w:r>
        <w:rPr>
          <w:rFonts w:hint="eastAsia"/>
          <w:lang w:val="en-US" w:eastAsia="zh-CN"/>
        </w:rPr>
        <w:t>易</w:t>
      </w:r>
      <w:r>
        <w:t>溶</w:t>
      </w:r>
    </w:p>
    <w:p w14:paraId="511E225E">
      <w:r>
        <w:t>甘油:                                                        不溶</w:t>
      </w:r>
    </w:p>
    <w:p w14:paraId="62E68BE8">
      <w:r>
        <w:t>丙二醇:                                                     不溶</w:t>
      </w:r>
    </w:p>
    <w:p w14:paraId="55A9FA4F">
      <w:r>
        <w:t>丁二醇:                                                     不溶</w:t>
      </w:r>
    </w:p>
    <w:p w14:paraId="605F063D">
      <w:r>
        <w:t>乙醇:                                                        不溶</w:t>
      </w:r>
    </w:p>
    <w:p w14:paraId="1144FF0D">
      <w:r>
        <w:t>丙二醇辛酸酯:                                       不溶</w:t>
      </w:r>
    </w:p>
    <w:p w14:paraId="3DAFABB6">
      <w:r>
        <w:t>蓖麻油:                                                      不溶</w:t>
      </w:r>
    </w:p>
    <w:p w14:paraId="6F8D2A67">
      <w:r>
        <w:t>甘油三酸酯:                                            不溶</w:t>
      </w:r>
    </w:p>
    <w:p w14:paraId="1E22C8C0">
      <w:r>
        <w:t>橄榄油:                                                    不溶</w:t>
      </w:r>
    </w:p>
    <w:p w14:paraId="3779B960">
      <w:r>
        <w:t>矿物油:                                                    不溶</w:t>
      </w:r>
    </w:p>
    <w:p w14:paraId="1B135FE6">
      <w:r>
        <w:drawing>
          <wp:inline distT="0" distB="0" distL="0" distR="0">
            <wp:extent cx="5692140" cy="35560"/>
            <wp:effectExtent l="0" t="0" r="3810" b="254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2178" cy="3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C564"/>
    <w:p w14:paraId="25AABF25"/>
    <w:p w14:paraId="2F2E4466"/>
    <w:p w14:paraId="04BD3DCB"/>
    <w:p w14:paraId="5787107E"/>
    <w:p w14:paraId="47C4D578"/>
    <w:p w14:paraId="10975213">
      <w:pPr>
        <w:rPr>
          <w:b/>
          <w:bCs/>
        </w:rPr>
      </w:pPr>
    </w:p>
    <w:p w14:paraId="798534E7">
      <w:pPr>
        <w:rPr>
          <w:b/>
          <w:bCs/>
        </w:rPr>
      </w:pPr>
      <w:r>
        <w:rPr>
          <w:b/>
          <w:bCs/>
        </w:rPr>
        <w:t>产品介绍：</w:t>
      </w:r>
    </w:p>
    <w:p w14:paraId="07E7527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  <w:r>
        <w:rPr>
          <w:rFonts w:hint="eastAsia" w:eastAsia="宋体"/>
          <w:lang w:val="en-US" w:eastAsia="zh-CN"/>
        </w:rPr>
        <w:t>发基生活性肽</w:t>
      </w:r>
      <w:r>
        <w:t>是利用DNA重组技术制备的</w:t>
      </w:r>
      <w:r>
        <w:rPr>
          <w:rFonts w:hint="eastAsia" w:eastAsia="宋体"/>
          <w:lang w:val="en-US" w:eastAsia="zh-CN"/>
        </w:rPr>
        <w:t>多肽</w:t>
      </w:r>
      <w:r>
        <w:t>，</w:t>
      </w:r>
      <w:r>
        <w:rPr>
          <w:rFonts w:hint="eastAsia"/>
        </w:rPr>
        <w:t>基于活性三肽结构序列设计、筛选，重组获得的新型生物调节肽</w:t>
      </w:r>
      <w:r>
        <w:t>，</w:t>
      </w:r>
      <w:r>
        <w:rPr>
          <w:rFonts w:hint="eastAsia" w:eastAsia="宋体"/>
          <w:lang w:val="en-US" w:eastAsia="zh-CN"/>
        </w:rPr>
        <w:t>其</w:t>
      </w:r>
      <w:r>
        <w:t>组织相容性较好，可以被人体直接吸收</w:t>
      </w:r>
      <w:r>
        <w:rPr>
          <w:rFonts w:hint="eastAsia" w:eastAsia="宋体"/>
          <w:lang w:eastAsia="zh-CN"/>
        </w:rPr>
        <w:t>，</w:t>
      </w:r>
      <w:r>
        <w:t>并参与</w:t>
      </w:r>
      <w:r>
        <w:rPr>
          <w:rFonts w:hint="eastAsia"/>
        </w:rPr>
        <w:t>激活毛囊干细胞，促进毛囊干细胞的生长、迁移、分化，同时降低胞外基质降解酶表达和增加胶原蛋白、弹性蛋白、纤维连接蛋白合成，重建和修复真皮层，为毛囊的发育提供良好的乳酸和生长外部环境。</w:t>
      </w:r>
    </w:p>
    <w:p w14:paraId="3B1D1E9B"/>
    <w:p w14:paraId="4DA7C38D">
      <w:pPr>
        <w:rPr>
          <w:b/>
          <w:bCs/>
        </w:rPr>
      </w:pPr>
      <w:r>
        <w:rPr>
          <w:b/>
          <w:bCs/>
        </w:rPr>
        <w:t>产品特点：</w:t>
      </w:r>
    </w:p>
    <w:p w14:paraId="3BF22B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创新结构设计活性三肽结构，靶向性调控毛囊基础功能；</w:t>
      </w:r>
    </w:p>
    <w:p w14:paraId="1EF480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安全高效，起效快，3-7d启动激活毛囊进入生长期；</w:t>
      </w:r>
    </w:p>
    <w:p w14:paraId="2B5117AB">
      <w:pPr>
        <w:rPr>
          <w:rFonts w:hint="eastAsia"/>
          <w:lang w:val="en-US" w:eastAsia="zh-CN"/>
        </w:rPr>
      </w:pPr>
    </w:p>
    <w:p w14:paraId="160E9388"/>
    <w:p w14:paraId="0057ED4D">
      <w:pPr>
        <w:rPr>
          <w:b/>
          <w:bCs/>
        </w:rPr>
      </w:pPr>
      <w:r>
        <w:rPr>
          <w:b/>
          <w:bCs/>
        </w:rPr>
        <w:t>产品功效：</w:t>
      </w:r>
    </w:p>
    <w:p w14:paraId="7121BA35">
      <w:r>
        <w:rPr>
          <w:rFonts w:hint="eastAsia"/>
          <w:lang w:val="en-US" w:eastAsia="zh-CN"/>
        </w:rPr>
        <w:t>促进毛发在生长</w:t>
      </w:r>
    </w:p>
    <w:p w14:paraId="32BB86DE"/>
    <w:p w14:paraId="65DF37DB">
      <w:pPr>
        <w:rPr>
          <w:b/>
          <w:bCs/>
        </w:rPr>
      </w:pPr>
      <w:r>
        <w:rPr>
          <w:b/>
          <w:bCs/>
        </w:rPr>
        <w:t>产品应用 :</w:t>
      </w:r>
    </w:p>
    <w:p w14:paraId="3DE94EE7">
      <w:pPr>
        <w:rPr>
          <w:rFonts w:hint="default"/>
          <w:lang w:val="en-US" w:eastAsia="zh-CN"/>
        </w:rPr>
      </w:pPr>
      <w:r>
        <w:t>护</w:t>
      </w:r>
      <w:r>
        <w:rPr>
          <w:rFonts w:hint="eastAsia" w:eastAsia="宋体"/>
          <w:lang w:val="en-US" w:eastAsia="zh-CN"/>
        </w:rPr>
        <w:t>发</w:t>
      </w:r>
      <w:r>
        <w:t>产品；</w:t>
      </w:r>
      <w:r>
        <w:rPr>
          <w:rFonts w:hint="eastAsia"/>
          <w:lang w:val="en-US" w:eastAsia="zh-CN"/>
        </w:rPr>
        <w:t>头皮养护；精华</w:t>
      </w:r>
      <w:r>
        <w:t>；</w:t>
      </w:r>
      <w:r>
        <w:rPr>
          <w:rFonts w:hint="eastAsia"/>
          <w:lang w:val="en-US" w:eastAsia="zh-CN"/>
        </w:rPr>
        <w:t>乳液；水；凝胶；</w:t>
      </w:r>
    </w:p>
    <w:p w14:paraId="0E88DE7F"/>
    <w:p w14:paraId="2369E746">
      <w:r>
        <w:t>推荐用量 :   0.</w:t>
      </w:r>
      <w:r>
        <w:rPr>
          <w:rFonts w:hint="eastAsia"/>
          <w:lang w:val="en-US" w:eastAsia="zh-CN"/>
        </w:rPr>
        <w:t>0</w:t>
      </w:r>
      <w:r>
        <w:t>1%-</w:t>
      </w:r>
      <w:r>
        <w:rPr>
          <w:rFonts w:hint="eastAsia" w:eastAsia="宋体"/>
          <w:lang w:val="en-US" w:eastAsia="zh-CN"/>
        </w:rPr>
        <w:t>0.</w:t>
      </w:r>
      <w:r>
        <w:rPr>
          <w:rFonts w:hint="eastAsia"/>
          <w:lang w:val="en-US" w:eastAsia="zh-CN"/>
        </w:rPr>
        <w:t>5</w:t>
      </w:r>
      <w:r>
        <w:t>%</w:t>
      </w:r>
    </w:p>
    <w:p w14:paraId="024B9345"/>
    <w:p w14:paraId="61602FB6">
      <w:r>
        <w:t>贮存条件 : 避光、</w:t>
      </w:r>
      <w:r>
        <w:rPr>
          <w:rFonts w:hint="eastAsia" w:eastAsia="宋体"/>
          <w:lang w:val="en-US" w:eastAsia="zh-CN"/>
        </w:rPr>
        <w:t>2-8</w:t>
      </w:r>
      <w:r>
        <w:rPr>
          <w:rFonts w:hint="eastAsia" w:ascii="微软雅黑" w:hAnsi="微软雅黑" w:eastAsia="微软雅黑" w:cs="微软雅黑"/>
          <w:lang w:val="en-US" w:eastAsia="zh-CN"/>
        </w:rPr>
        <w:t>℃</w:t>
      </w:r>
      <w:r>
        <w:t>阴凉处密封保存。</w:t>
      </w:r>
    </w:p>
    <w:p w14:paraId="4AEC665D"/>
    <w:p w14:paraId="55EBC907">
      <w:r>
        <w:rPr>
          <w:rFonts w:hint="eastAsia"/>
          <w:lang w:val="en-US" w:eastAsia="zh-CN"/>
        </w:rPr>
        <w:t>包装</w:t>
      </w:r>
      <w:r>
        <w:t>装规格:</w:t>
      </w:r>
      <w:r>
        <w:rPr>
          <w:rFonts w:hint="eastAsia" w:eastAsia="宋体"/>
          <w:lang w:val="en-US" w:eastAsia="zh-CN"/>
        </w:rPr>
        <w:t>3mg/瓶；1</w:t>
      </w:r>
      <w:r>
        <w:rPr>
          <w:rFonts w:hint="eastAsia"/>
          <w:lang w:val="en-US" w:eastAsia="zh-CN"/>
        </w:rPr>
        <w:t>g</w:t>
      </w:r>
      <w:r>
        <w:t>/</w:t>
      </w:r>
      <w:r>
        <w:rPr>
          <w:rFonts w:hint="eastAsia"/>
          <w:lang w:val="en-US" w:eastAsia="zh-CN"/>
        </w:rPr>
        <w:t>瓶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5g/瓶</w:t>
      </w:r>
      <w:r>
        <w:t>，</w:t>
      </w:r>
      <w:r>
        <w:rPr>
          <w:rFonts w:hint="eastAsia"/>
          <w:lang w:val="en-US" w:eastAsia="zh-CN"/>
        </w:rPr>
        <w:t xml:space="preserve">高硼硅西林瓶包装 </w:t>
      </w:r>
      <w:r>
        <w:t xml:space="preserve"> </w:t>
      </w:r>
    </w:p>
    <w:p w14:paraId="74CE7A4E"/>
    <w:p w14:paraId="2D5B1BAA">
      <w:r>
        <w:t>保质期 :</w:t>
      </w:r>
      <w:r>
        <w:rPr>
          <w:rFonts w:hint="eastAsia"/>
          <w:lang w:val="en-US" w:eastAsia="zh-CN"/>
        </w:rPr>
        <w:t>二</w:t>
      </w:r>
      <w:r>
        <w:t>年</w:t>
      </w:r>
    </w:p>
    <w:p w14:paraId="6267FD58"/>
    <w:sectPr>
      <w:type w:val="continuous"/>
      <w:pgSz w:w="12240" w:h="15840"/>
      <w:pgMar w:top="1440" w:right="1080" w:bottom="1440" w:left="1080" w:header="0" w:footer="0" w:gutter="0"/>
      <w:cols w:equalWidth="0" w:num="1">
        <w:col w:w="12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67527E8-A3C8-4185-9C7F-23C95A8A99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F6FA408-3A4C-48E1-B6C3-3505E0A5F133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6CAD3D8-9913-4FAC-B6FE-1C5E90A8887B}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AC9B6E-5551-490A-BE67-7AF29BE191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2D46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NkODY1ZjYwNmJiZGNlYjY5NTlhNzkxODkwZDRlZmUifQ=="/>
  </w:docVars>
  <w:rsids>
    <w:rsidRoot w:val="00000000"/>
    <w:rsid w:val="051A0FB1"/>
    <w:rsid w:val="0F151D7C"/>
    <w:rsid w:val="10FA61E7"/>
    <w:rsid w:val="1CCB237A"/>
    <w:rsid w:val="1D4A6F92"/>
    <w:rsid w:val="32441119"/>
    <w:rsid w:val="3981507C"/>
    <w:rsid w:val="3B1D53B6"/>
    <w:rsid w:val="3B924BB0"/>
    <w:rsid w:val="5B664E7F"/>
    <w:rsid w:val="60E455D3"/>
    <w:rsid w:val="76E47DE4"/>
    <w:rsid w:val="78E61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extobjs>
    <extobj name="F35B0BEE-F18A-47BB-8FCB-E00DA2F2635D-1">
      <extobjdata type="F35B0BEE-F18A-47BB-8FCB-E00DA2F2635D" data="ewoJIkRlc2lnbklkIiA6ICJjMzljMzc3YS1hYWE1LTQ3MTAtOGFjYS1kMDUzMjNjOTFjNTI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507</Words>
  <Characters>623</Characters>
  <TotalTime>1</TotalTime>
  <ScaleCrop>false</ScaleCrop>
  <LinksUpToDate>false</LinksUpToDate>
  <CharactersWithSpaces>1171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2022-05-27T13:50:00Z</dcterms:created>
  <dc:creator>AutoBVT</dc:creator>
  <cp:lastModifiedBy>Li Heng</cp:lastModifiedBy>
  <dcterms:modified xsi:type="dcterms:W3CDTF">2024-07-03T05:37:11Z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2024-07-01T16:42:39Z</vt:filetime>
  </property>
  <property fmtid="{D5CDD505-2E9C-101B-9397-08002B2CF9AE}" pid="4" name="KSOProductBuildVer">
    <vt:lpwstr>2052-12.1.0.17133</vt:lpwstr>
  </property>
  <property fmtid="{D5CDD505-2E9C-101B-9397-08002B2CF9AE}" pid="5" name="ICV">
    <vt:lpwstr>4D136E0CCA614DCF9ADEA9856E429235_13</vt:lpwstr>
  </property>
</Properties>
</file>